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91" w:rsidRDefault="00716D91"/>
    <w:p w:rsidR="00B2344E" w:rsidRPr="007F4517" w:rsidRDefault="00B2344E" w:rsidP="00B2344E">
      <w:pPr>
        <w:spacing w:after="0" w:line="0" w:lineRule="atLeast"/>
        <w:ind w:right="-45"/>
        <w:jc w:val="center"/>
        <w:rPr>
          <w:rFonts w:ascii="Times New Roman" w:eastAsia="Times New Roman" w:hAnsi="Times New Roman" w:cs="Arial"/>
          <w:b/>
          <w:sz w:val="32"/>
          <w:szCs w:val="20"/>
          <w:lang w:eastAsia="fr-FR"/>
        </w:rPr>
      </w:pPr>
      <w:r>
        <w:rPr>
          <w:rFonts w:ascii="Times New Roman" w:eastAsia="Times New Roman" w:hAnsi="Times New Roman" w:cs="Arial"/>
          <w:b/>
          <w:sz w:val="32"/>
          <w:szCs w:val="20"/>
          <w:lang w:eastAsia="fr-FR"/>
        </w:rPr>
        <w:t>Protection des transformateurs</w:t>
      </w:r>
    </w:p>
    <w:p w:rsidR="00B2344E" w:rsidRPr="00F8004F" w:rsidRDefault="00B2344E" w:rsidP="00B2344E">
      <w:pPr>
        <w:numPr>
          <w:ilvl w:val="0"/>
          <w:numId w:val="1"/>
        </w:numPr>
        <w:tabs>
          <w:tab w:val="left" w:pos="486"/>
        </w:tabs>
        <w:spacing w:after="0" w:line="0" w:lineRule="atLeast"/>
        <w:ind w:left="486" w:hanging="284"/>
        <w:rPr>
          <w:rFonts w:ascii="Times New Roman" w:eastAsia="Times New Roman" w:hAnsi="Times New Roman" w:cs="Arial"/>
          <w:b/>
          <w:color w:val="0000FF"/>
          <w:sz w:val="28"/>
          <w:szCs w:val="20"/>
          <w:lang w:eastAsia="fr-FR"/>
        </w:rPr>
      </w:pPr>
      <w:r w:rsidRPr="00F8004F">
        <w:rPr>
          <w:rFonts w:ascii="Times New Roman" w:eastAsia="Times New Roman" w:hAnsi="Times New Roman" w:cs="Arial"/>
          <w:b/>
          <w:color w:val="0000FF"/>
          <w:sz w:val="28"/>
          <w:szCs w:val="20"/>
          <w:u w:val="single"/>
          <w:lang w:eastAsia="fr-FR"/>
        </w:rPr>
        <w:t>Protection en amont.</w:t>
      </w:r>
    </w:p>
    <w:p w:rsidR="00B2344E" w:rsidRPr="00F8004F" w:rsidRDefault="00B2344E" w:rsidP="00B2344E">
      <w:pPr>
        <w:spacing w:after="0" w:line="279" w:lineRule="exact"/>
        <w:rPr>
          <w:rFonts w:ascii="Times New Roman" w:eastAsia="Times New Roman" w:hAnsi="Times New Roman" w:cs="Arial"/>
          <w:sz w:val="20"/>
          <w:szCs w:val="20"/>
          <w:lang w:eastAsia="fr-FR"/>
        </w:rPr>
      </w:pPr>
    </w:p>
    <w:p w:rsidR="00B2344E" w:rsidRPr="00F8004F" w:rsidRDefault="00B2344E" w:rsidP="00B2344E">
      <w:pPr>
        <w:spacing w:after="0" w:line="291" w:lineRule="auto"/>
        <w:ind w:left="206" w:right="740"/>
        <w:rPr>
          <w:rFonts w:ascii="Times New Roman" w:eastAsia="Times New Roman" w:hAnsi="Times New Roman" w:cs="Arial"/>
          <w:sz w:val="23"/>
          <w:szCs w:val="20"/>
          <w:lang w:eastAsia="fr-FR"/>
        </w:rPr>
      </w:pPr>
      <w:r w:rsidRPr="00F8004F">
        <w:rPr>
          <w:rFonts w:ascii="Times New Roman" w:eastAsia="Times New Roman" w:hAnsi="Times New Roman" w:cs="Arial"/>
          <w:sz w:val="23"/>
          <w:szCs w:val="20"/>
          <w:lang w:eastAsia="fr-FR"/>
        </w:rPr>
        <w:t>Des perturbations peuvent provenir du réseau amont (HTA) ; ce sont surtout des surtensions, ou la foudre. On emploie souvent des parafoudres, ou des limiteurs de surtensions.</w:t>
      </w:r>
    </w:p>
    <w:p w:rsidR="00B2344E" w:rsidRPr="00F8004F" w:rsidRDefault="00B2344E" w:rsidP="00B2344E">
      <w:pPr>
        <w:spacing w:after="0" w:line="305" w:lineRule="exact"/>
        <w:rPr>
          <w:rFonts w:ascii="Times New Roman" w:eastAsia="Times New Roman" w:hAnsi="Times New Roman" w:cs="Arial"/>
          <w:sz w:val="20"/>
          <w:szCs w:val="20"/>
          <w:lang w:eastAsia="fr-FR"/>
        </w:rPr>
      </w:pPr>
    </w:p>
    <w:p w:rsidR="00B2344E" w:rsidRPr="00F8004F" w:rsidRDefault="00B2344E" w:rsidP="00B2344E">
      <w:pPr>
        <w:numPr>
          <w:ilvl w:val="0"/>
          <w:numId w:val="2"/>
        </w:numPr>
        <w:tabs>
          <w:tab w:val="left" w:pos="486"/>
        </w:tabs>
        <w:spacing w:after="0" w:line="0" w:lineRule="atLeast"/>
        <w:ind w:left="486" w:hanging="284"/>
        <w:rPr>
          <w:rFonts w:ascii="Times New Roman" w:eastAsia="Times New Roman" w:hAnsi="Times New Roman" w:cs="Arial"/>
          <w:b/>
          <w:color w:val="0000FF"/>
          <w:sz w:val="28"/>
          <w:szCs w:val="20"/>
          <w:lang w:eastAsia="fr-FR"/>
        </w:rPr>
      </w:pPr>
      <w:r w:rsidRPr="00F8004F">
        <w:rPr>
          <w:rFonts w:ascii="Times New Roman" w:eastAsia="Times New Roman" w:hAnsi="Times New Roman" w:cs="Arial"/>
          <w:b/>
          <w:color w:val="0000FF"/>
          <w:sz w:val="28"/>
          <w:szCs w:val="20"/>
          <w:u w:val="single"/>
          <w:lang w:eastAsia="fr-FR"/>
        </w:rPr>
        <w:t xml:space="preserve">Protection du </w:t>
      </w:r>
      <w:proofErr w:type="gramStart"/>
      <w:r w:rsidRPr="00F8004F">
        <w:rPr>
          <w:rFonts w:ascii="Times New Roman" w:eastAsia="Times New Roman" w:hAnsi="Times New Roman" w:cs="Arial"/>
          <w:b/>
          <w:color w:val="0000FF"/>
          <w:sz w:val="28"/>
          <w:szCs w:val="20"/>
          <w:u w:val="single"/>
          <w:lang w:eastAsia="fr-FR"/>
        </w:rPr>
        <w:t>transformateur .</w:t>
      </w:r>
      <w:proofErr w:type="gramEnd"/>
    </w:p>
    <w:p w:rsidR="00B2344E" w:rsidRPr="00F8004F" w:rsidRDefault="00B2344E" w:rsidP="00B2344E">
      <w:pPr>
        <w:spacing w:after="0" w:line="20" w:lineRule="exact"/>
        <w:rPr>
          <w:rFonts w:ascii="Times New Roman" w:eastAsia="Times New Roman" w:hAnsi="Times New Roman" w:cs="Arial"/>
          <w:sz w:val="20"/>
          <w:szCs w:val="20"/>
          <w:lang w:eastAsia="fr-FR"/>
        </w:rPr>
      </w:pPr>
      <w:r>
        <w:rPr>
          <w:rFonts w:ascii="Times New Roman" w:eastAsia="Times New Roman" w:hAnsi="Times New Roman" w:cs="Arial"/>
          <w:b/>
          <w:noProof/>
          <w:color w:val="0000FF"/>
          <w:sz w:val="28"/>
          <w:szCs w:val="20"/>
          <w:lang w:eastAsia="fr-FR"/>
        </w:rPr>
        <w:drawing>
          <wp:anchor distT="0" distB="0" distL="114300" distR="114300" simplePos="0" relativeHeight="251659264" behindDoc="1" locked="0" layoutInCell="1" allowOverlap="1" wp14:anchorId="6BCB5AEC" wp14:editId="736C110F">
            <wp:simplePos x="0" y="0"/>
            <wp:positionH relativeFrom="column">
              <wp:posOffset>-114935</wp:posOffset>
            </wp:positionH>
            <wp:positionV relativeFrom="paragraph">
              <wp:posOffset>207645</wp:posOffset>
            </wp:positionV>
            <wp:extent cx="6470650" cy="5338445"/>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0650" cy="5338445"/>
                    </a:xfrm>
                    <a:prstGeom prst="rect">
                      <a:avLst/>
                    </a:prstGeom>
                    <a:noFill/>
                  </pic:spPr>
                </pic:pic>
              </a:graphicData>
            </a:graphic>
            <wp14:sizeRelH relativeFrom="page">
              <wp14:pctWidth>0</wp14:pctWidth>
            </wp14:sizeRelH>
            <wp14:sizeRelV relativeFrom="page">
              <wp14:pctHeight>0</wp14:pctHeight>
            </wp14:sizeRelV>
          </wp:anchor>
        </w:drawing>
      </w:r>
    </w:p>
    <w:p w:rsidR="00B2344E" w:rsidRPr="00F8004F" w:rsidRDefault="00B2344E" w:rsidP="00B2344E">
      <w:pPr>
        <w:spacing w:after="0" w:line="393" w:lineRule="exact"/>
        <w:rPr>
          <w:rFonts w:ascii="Times New Roman" w:eastAsia="Times New Roman" w:hAnsi="Times New Roman" w:cs="Arial"/>
          <w:sz w:val="20"/>
          <w:szCs w:val="20"/>
          <w:lang w:eastAsia="fr-FR"/>
        </w:rPr>
      </w:pPr>
    </w:p>
    <w:p w:rsidR="00B2344E" w:rsidRPr="00F8004F" w:rsidRDefault="00B2344E" w:rsidP="00B2344E">
      <w:pPr>
        <w:spacing w:after="0" w:line="0" w:lineRule="atLeast"/>
        <w:ind w:left="6"/>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On peut détecter trois types de défauts :</w:t>
      </w:r>
    </w:p>
    <w:p w:rsidR="00B2344E" w:rsidRPr="00F8004F" w:rsidRDefault="00B2344E" w:rsidP="00B2344E">
      <w:pPr>
        <w:spacing w:after="0" w:line="36" w:lineRule="exact"/>
        <w:rPr>
          <w:rFonts w:ascii="Times New Roman" w:eastAsia="Times New Roman" w:hAnsi="Times New Roman" w:cs="Arial"/>
          <w:sz w:val="20"/>
          <w:szCs w:val="20"/>
          <w:lang w:eastAsia="fr-FR"/>
        </w:rPr>
      </w:pPr>
    </w:p>
    <w:p w:rsidR="00B2344E" w:rsidRPr="00F8004F" w:rsidRDefault="00B2344E" w:rsidP="00B2344E">
      <w:pPr>
        <w:numPr>
          <w:ilvl w:val="0"/>
          <w:numId w:val="3"/>
        </w:numPr>
        <w:tabs>
          <w:tab w:val="left" w:pos="366"/>
        </w:tabs>
        <w:spacing w:after="0" w:line="239" w:lineRule="auto"/>
        <w:ind w:left="366" w:right="3180" w:hanging="366"/>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L'élévation anormale de température du transformateur : on utilise un thermostat qui signale l’anomalie et peut couper l'alimentation si la température est trop élevée.</w:t>
      </w:r>
    </w:p>
    <w:p w:rsidR="00B2344E" w:rsidRPr="00F8004F" w:rsidRDefault="00B2344E" w:rsidP="00B2344E">
      <w:pPr>
        <w:spacing w:after="0" w:line="240" w:lineRule="exact"/>
        <w:rPr>
          <w:rFonts w:ascii="Times New Roman" w:eastAsia="Times New Roman" w:hAnsi="Times New Roman" w:cs="Arial"/>
          <w:sz w:val="24"/>
          <w:szCs w:val="20"/>
          <w:lang w:eastAsia="fr-FR"/>
        </w:rPr>
      </w:pPr>
    </w:p>
    <w:p w:rsidR="00B2344E" w:rsidRPr="00F8004F" w:rsidRDefault="00B2344E" w:rsidP="00B2344E">
      <w:pPr>
        <w:numPr>
          <w:ilvl w:val="0"/>
          <w:numId w:val="3"/>
        </w:numPr>
        <w:tabs>
          <w:tab w:val="left" w:pos="366"/>
        </w:tabs>
        <w:spacing w:after="0" w:line="247" w:lineRule="auto"/>
        <w:ind w:left="366" w:right="3080" w:hanging="366"/>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 xml:space="preserve">Le dégagement de gaz : lorsqu'un transformateur est immergé, tout défaut d'isolement se manifeste par un arc électrique qui décompose l'huile et provoque un dégagement gazeux qui se porte au sommet de la cave. Des relais type </w:t>
      </w:r>
      <w:proofErr w:type="spellStart"/>
      <w:r w:rsidRPr="00F8004F">
        <w:rPr>
          <w:rFonts w:ascii="Times New Roman" w:eastAsia="Times New Roman" w:hAnsi="Times New Roman" w:cs="Arial"/>
          <w:sz w:val="24"/>
          <w:szCs w:val="20"/>
          <w:lang w:eastAsia="fr-FR"/>
        </w:rPr>
        <w:t>Buchholz</w:t>
      </w:r>
      <w:proofErr w:type="spellEnd"/>
      <w:r w:rsidRPr="00F8004F">
        <w:rPr>
          <w:rFonts w:ascii="Times New Roman" w:eastAsia="Times New Roman" w:hAnsi="Times New Roman" w:cs="Arial"/>
          <w:sz w:val="24"/>
          <w:szCs w:val="20"/>
          <w:lang w:eastAsia="fr-FR"/>
        </w:rPr>
        <w:t xml:space="preserve"> </w:t>
      </w:r>
      <w:proofErr w:type="gramStart"/>
      <w:r w:rsidRPr="00F8004F">
        <w:rPr>
          <w:rFonts w:ascii="Times New Roman" w:eastAsia="Times New Roman" w:hAnsi="Times New Roman" w:cs="Arial"/>
          <w:sz w:val="24"/>
          <w:szCs w:val="20"/>
          <w:lang w:eastAsia="fr-FR"/>
        </w:rPr>
        <w:t>( voir</w:t>
      </w:r>
      <w:proofErr w:type="gramEnd"/>
      <w:r w:rsidRPr="00F8004F">
        <w:rPr>
          <w:rFonts w:ascii="Times New Roman" w:eastAsia="Times New Roman" w:hAnsi="Times New Roman" w:cs="Arial"/>
          <w:sz w:val="24"/>
          <w:szCs w:val="20"/>
          <w:lang w:eastAsia="fr-FR"/>
        </w:rPr>
        <w:t xml:space="preserve"> image ci-dessous) détectent ce dégagement gazeux.</w:t>
      </w:r>
    </w:p>
    <w:p w:rsidR="00B2344E" w:rsidRPr="00F8004F" w:rsidRDefault="00B2344E" w:rsidP="00B2344E">
      <w:pPr>
        <w:spacing w:after="0" w:line="235" w:lineRule="exact"/>
        <w:rPr>
          <w:rFonts w:ascii="Times New Roman" w:eastAsia="Times New Roman" w:hAnsi="Times New Roman" w:cs="Arial"/>
          <w:sz w:val="24"/>
          <w:szCs w:val="20"/>
          <w:lang w:eastAsia="fr-FR"/>
        </w:rPr>
      </w:pPr>
    </w:p>
    <w:p w:rsidR="00B2344E" w:rsidRPr="00F8004F" w:rsidRDefault="00B2344E" w:rsidP="00B2344E">
      <w:pPr>
        <w:numPr>
          <w:ilvl w:val="0"/>
          <w:numId w:val="3"/>
        </w:numPr>
        <w:tabs>
          <w:tab w:val="left" w:pos="366"/>
        </w:tabs>
        <w:spacing w:after="0" w:line="273" w:lineRule="auto"/>
        <w:ind w:left="366" w:right="3240" w:hanging="366"/>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La protection masse cuve : permet de détecter tout défaut interne entre le transformateur et la masse.</w:t>
      </w:r>
    </w:p>
    <w:p w:rsidR="00B2344E" w:rsidRPr="00F8004F" w:rsidRDefault="00B2344E" w:rsidP="00B2344E">
      <w:pPr>
        <w:spacing w:after="0" w:line="203" w:lineRule="exact"/>
        <w:rPr>
          <w:rFonts w:ascii="Times New Roman" w:eastAsia="Times New Roman" w:hAnsi="Times New Roman" w:cs="Arial"/>
          <w:sz w:val="20"/>
          <w:szCs w:val="20"/>
          <w:lang w:eastAsia="fr-FR"/>
        </w:rPr>
      </w:pPr>
    </w:p>
    <w:p w:rsidR="00B2344E" w:rsidRPr="00F8004F" w:rsidRDefault="00B2344E" w:rsidP="00B2344E">
      <w:pPr>
        <w:spacing w:after="0" w:line="269" w:lineRule="auto"/>
        <w:ind w:left="6" w:right="3740"/>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 xml:space="preserve">Ces deux dernières protections sont surtout employées pour des transformateurs de puissance supérieure à 5 000 </w:t>
      </w:r>
      <w:proofErr w:type="spellStart"/>
      <w:r w:rsidRPr="00F8004F">
        <w:rPr>
          <w:rFonts w:ascii="Times New Roman" w:eastAsia="Times New Roman" w:hAnsi="Times New Roman" w:cs="Arial"/>
          <w:sz w:val="24"/>
          <w:szCs w:val="20"/>
          <w:lang w:eastAsia="fr-FR"/>
        </w:rPr>
        <w:t>kVA</w:t>
      </w:r>
      <w:proofErr w:type="spellEnd"/>
      <w:r w:rsidRPr="00F8004F">
        <w:rPr>
          <w:rFonts w:ascii="Times New Roman" w:eastAsia="Times New Roman" w:hAnsi="Times New Roman" w:cs="Arial"/>
          <w:sz w:val="24"/>
          <w:szCs w:val="20"/>
          <w:lang w:eastAsia="fr-FR"/>
        </w:rPr>
        <w:t>.</w:t>
      </w: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318" w:lineRule="exact"/>
        <w:rPr>
          <w:rFonts w:ascii="Times New Roman" w:eastAsia="Times New Roman" w:hAnsi="Times New Roman" w:cs="Arial"/>
          <w:sz w:val="20"/>
          <w:szCs w:val="20"/>
          <w:lang w:eastAsia="fr-FR"/>
        </w:rPr>
      </w:pPr>
    </w:p>
    <w:p w:rsidR="00B2344E" w:rsidRPr="003E6D11" w:rsidRDefault="00B2344E" w:rsidP="00B2344E">
      <w:pPr>
        <w:numPr>
          <w:ilvl w:val="0"/>
          <w:numId w:val="4"/>
        </w:numPr>
        <w:tabs>
          <w:tab w:val="left" w:pos="0"/>
        </w:tabs>
        <w:spacing w:after="0" w:line="0" w:lineRule="atLeast"/>
        <w:rPr>
          <w:rFonts w:ascii="Times New Roman" w:eastAsia="Times New Roman" w:hAnsi="Times New Roman" w:cs="Arial"/>
          <w:b/>
          <w:color w:val="0000FF"/>
          <w:sz w:val="28"/>
          <w:szCs w:val="20"/>
          <w:lang w:eastAsia="fr-FR"/>
        </w:rPr>
      </w:pPr>
      <w:r w:rsidRPr="00F8004F">
        <w:rPr>
          <w:rFonts w:ascii="Times New Roman" w:eastAsia="Times New Roman" w:hAnsi="Times New Roman" w:cs="Arial"/>
          <w:b/>
          <w:color w:val="0000FF"/>
          <w:sz w:val="28"/>
          <w:szCs w:val="20"/>
          <w:u w:val="single"/>
          <w:lang w:eastAsia="fr-FR"/>
        </w:rPr>
        <w:t>Protection côte basse tension BT.</w:t>
      </w:r>
    </w:p>
    <w:p w:rsidR="00B2344E" w:rsidRPr="003E6D11" w:rsidRDefault="00B2344E" w:rsidP="00B2344E">
      <w:pPr>
        <w:tabs>
          <w:tab w:val="left" w:pos="0"/>
        </w:tabs>
        <w:spacing w:after="0" w:line="273" w:lineRule="auto"/>
        <w:ind w:right="780"/>
        <w:rPr>
          <w:rFonts w:ascii="Times New Roman" w:eastAsia="Times New Roman" w:hAnsi="Times New Roman" w:cs="Arial"/>
          <w:sz w:val="24"/>
          <w:szCs w:val="20"/>
          <w:lang w:eastAsia="fr-FR"/>
        </w:rPr>
        <w:sectPr w:rsidR="00B2344E" w:rsidRPr="003E6D11">
          <w:pgSz w:w="11900" w:h="16840"/>
          <w:pgMar w:top="480" w:right="840" w:bottom="460" w:left="1340" w:header="0" w:footer="0" w:gutter="0"/>
          <w:cols w:space="0" w:equalWidth="0">
            <w:col w:w="9720"/>
          </w:cols>
          <w:docGrid w:linePitch="360"/>
        </w:sectPr>
      </w:pPr>
      <w:r w:rsidRPr="00F8004F">
        <w:rPr>
          <w:rFonts w:ascii="Times New Roman" w:eastAsia="Times New Roman" w:hAnsi="Times New Roman" w:cs="Arial"/>
          <w:sz w:val="24"/>
          <w:szCs w:val="20"/>
          <w:lang w:eastAsia="fr-FR"/>
        </w:rPr>
        <w:t xml:space="preserve">Il s'agit surtout d'une protection contre les surcharges et les </w:t>
      </w:r>
      <w:proofErr w:type="spellStart"/>
      <w:r w:rsidRPr="00F8004F">
        <w:rPr>
          <w:rFonts w:ascii="Times New Roman" w:eastAsia="Times New Roman" w:hAnsi="Times New Roman" w:cs="Arial"/>
          <w:sz w:val="24"/>
          <w:szCs w:val="20"/>
          <w:lang w:eastAsia="fr-FR"/>
        </w:rPr>
        <w:t>courts-circuits</w:t>
      </w:r>
      <w:proofErr w:type="spellEnd"/>
      <w:r w:rsidRPr="00F8004F">
        <w:rPr>
          <w:rFonts w:ascii="Times New Roman" w:eastAsia="Times New Roman" w:hAnsi="Times New Roman" w:cs="Arial"/>
          <w:sz w:val="24"/>
          <w:szCs w:val="20"/>
          <w:lang w:eastAsia="fr-FR"/>
        </w:rPr>
        <w:t>. Elle comporte un disjoncteur avec relais magnétothermique</w:t>
      </w:r>
      <w:bookmarkStart w:id="0" w:name="page12"/>
      <w:bookmarkEnd w:id="0"/>
    </w:p>
    <w:p w:rsidR="00B2344E" w:rsidRPr="00F8004F" w:rsidRDefault="00B2344E" w:rsidP="00B2344E">
      <w:pPr>
        <w:spacing w:after="0" w:line="0" w:lineRule="atLeast"/>
        <w:ind w:left="40"/>
        <w:rPr>
          <w:rFonts w:ascii="Times New Roman" w:eastAsia="Times New Roman" w:hAnsi="Times New Roman" w:cs="Arial"/>
          <w:b/>
          <w:i/>
          <w:szCs w:val="20"/>
          <w:lang w:eastAsia="fr-FR"/>
        </w:rPr>
      </w:pPr>
      <w:r w:rsidRPr="00F8004F">
        <w:rPr>
          <w:rFonts w:ascii="Times New Roman" w:eastAsia="Times New Roman" w:hAnsi="Times New Roman" w:cs="Arial"/>
          <w:sz w:val="20"/>
          <w:szCs w:val="20"/>
          <w:lang w:eastAsia="fr-FR"/>
        </w:rPr>
        <w:lastRenderedPageBreak/>
        <w:br w:type="column"/>
      </w:r>
    </w:p>
    <w:p w:rsidR="00B2344E" w:rsidRPr="00F8004F" w:rsidRDefault="00B2344E" w:rsidP="00B2344E">
      <w:pPr>
        <w:spacing w:after="0" w:line="0" w:lineRule="atLeast"/>
        <w:rPr>
          <w:rFonts w:ascii="Times New Roman" w:eastAsia="Times New Roman" w:hAnsi="Times New Roman" w:cs="Arial"/>
          <w:b/>
          <w:sz w:val="20"/>
          <w:szCs w:val="20"/>
          <w:lang w:eastAsia="fr-FR"/>
        </w:rPr>
      </w:pPr>
    </w:p>
    <w:p w:rsidR="00B2344E" w:rsidRPr="00F8004F" w:rsidRDefault="00B2344E" w:rsidP="00B2344E">
      <w:pPr>
        <w:spacing w:after="0" w:line="0" w:lineRule="atLeast"/>
        <w:rPr>
          <w:rFonts w:ascii="Times New Roman" w:eastAsia="Times New Roman" w:hAnsi="Times New Roman" w:cs="Arial"/>
          <w:b/>
          <w:sz w:val="20"/>
          <w:szCs w:val="20"/>
          <w:lang w:eastAsia="fr-FR"/>
        </w:rPr>
        <w:sectPr w:rsidR="00B2344E" w:rsidRPr="00F8004F" w:rsidSect="005313A2">
          <w:type w:val="continuous"/>
          <w:pgSz w:w="11900" w:h="16840"/>
          <w:pgMar w:top="480" w:right="840" w:bottom="460" w:left="1340" w:header="0" w:footer="0" w:gutter="0"/>
          <w:cols w:num="2" w:space="0" w:equalWidth="0">
            <w:col w:w="8864" w:space="2"/>
            <w:col w:w="854"/>
          </w:cols>
          <w:docGrid w:linePitch="360"/>
        </w:sectPr>
      </w:pPr>
    </w:p>
    <w:p w:rsidR="00B2344E" w:rsidRPr="00F8004F" w:rsidRDefault="00B2344E" w:rsidP="00B2344E">
      <w:pPr>
        <w:spacing w:after="0" w:line="307" w:lineRule="exact"/>
        <w:rPr>
          <w:rFonts w:ascii="Times New Roman" w:eastAsia="Times New Roman" w:hAnsi="Times New Roman" w:cs="Arial"/>
          <w:sz w:val="20"/>
          <w:szCs w:val="20"/>
          <w:lang w:eastAsia="fr-FR"/>
        </w:rPr>
      </w:pPr>
    </w:p>
    <w:p w:rsidR="00B2344E" w:rsidRPr="00F8004F" w:rsidRDefault="00B2344E" w:rsidP="00B2344E">
      <w:pPr>
        <w:spacing w:after="0" w:line="0" w:lineRule="atLeast"/>
        <w:ind w:right="20"/>
        <w:jc w:val="center"/>
        <w:rPr>
          <w:rFonts w:ascii="Times New Roman" w:eastAsia="Times New Roman" w:hAnsi="Times New Roman" w:cs="Arial"/>
          <w:b/>
          <w:sz w:val="32"/>
          <w:szCs w:val="20"/>
          <w:lang w:eastAsia="fr-FR"/>
        </w:rPr>
      </w:pPr>
      <w:r w:rsidRPr="00F8004F">
        <w:rPr>
          <w:rFonts w:ascii="Times New Roman" w:eastAsia="Times New Roman" w:hAnsi="Times New Roman" w:cs="Arial"/>
          <w:b/>
          <w:sz w:val="32"/>
          <w:szCs w:val="20"/>
          <w:lang w:eastAsia="fr-FR"/>
        </w:rPr>
        <w:t>Documentation 1</w:t>
      </w:r>
    </w:p>
    <w:p w:rsidR="00B2344E" w:rsidRPr="00F8004F" w:rsidRDefault="00B2344E" w:rsidP="00B2344E">
      <w:pPr>
        <w:spacing w:after="0" w:line="20" w:lineRule="exact"/>
        <w:rPr>
          <w:rFonts w:ascii="Times New Roman" w:eastAsia="Times New Roman" w:hAnsi="Times New Roman" w:cs="Arial"/>
          <w:sz w:val="20"/>
          <w:szCs w:val="20"/>
          <w:lang w:eastAsia="fr-FR"/>
        </w:rPr>
      </w:pPr>
      <w:r>
        <w:rPr>
          <w:rFonts w:ascii="Times New Roman" w:eastAsia="Times New Roman" w:hAnsi="Times New Roman" w:cs="Arial"/>
          <w:b/>
          <w:noProof/>
          <w:sz w:val="32"/>
          <w:szCs w:val="20"/>
          <w:lang w:eastAsia="fr-FR"/>
        </w:rPr>
        <w:drawing>
          <wp:anchor distT="0" distB="0" distL="114300" distR="114300" simplePos="0" relativeHeight="251660288" behindDoc="1" locked="0" layoutInCell="1" allowOverlap="1" wp14:anchorId="0C28570E" wp14:editId="02A05F2C">
            <wp:simplePos x="0" y="0"/>
            <wp:positionH relativeFrom="column">
              <wp:posOffset>112395</wp:posOffset>
            </wp:positionH>
            <wp:positionV relativeFrom="paragraph">
              <wp:posOffset>277495</wp:posOffset>
            </wp:positionV>
            <wp:extent cx="5486400" cy="5486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pic:spPr>
                </pic:pic>
              </a:graphicData>
            </a:graphic>
            <wp14:sizeRelH relativeFrom="page">
              <wp14:pctWidth>0</wp14:pctWidth>
            </wp14:sizeRelH>
            <wp14:sizeRelV relativeFrom="page">
              <wp14:pctHeight>0</wp14:pctHeight>
            </wp14:sizeRelV>
          </wp:anchor>
        </w:drawing>
      </w: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p>
    <w:p w:rsidR="00B2344E" w:rsidRPr="00F8004F" w:rsidRDefault="00B2344E" w:rsidP="00B2344E">
      <w:pPr>
        <w:spacing w:after="0" w:line="20" w:lineRule="exact"/>
        <w:rPr>
          <w:rFonts w:ascii="Times New Roman" w:eastAsia="Times New Roman" w:hAnsi="Times New Roman" w:cs="Arial"/>
          <w:sz w:val="20"/>
          <w:szCs w:val="20"/>
          <w:lang w:eastAsia="fr-FR"/>
        </w:rPr>
      </w:pPr>
      <w:bookmarkStart w:id="1" w:name="page15"/>
      <w:bookmarkEnd w:id="1"/>
    </w:p>
    <w:p w:rsidR="00B2344E" w:rsidRPr="00F8004F" w:rsidRDefault="00B2344E" w:rsidP="00B2344E">
      <w:pPr>
        <w:spacing w:after="0" w:line="20" w:lineRule="exact"/>
        <w:rPr>
          <w:rFonts w:ascii="Times New Roman" w:eastAsia="Times New Roman" w:hAnsi="Times New Roman" w:cs="Arial"/>
          <w:sz w:val="20"/>
          <w:szCs w:val="20"/>
          <w:lang w:eastAsia="fr-FR"/>
        </w:rPr>
      </w:pPr>
    </w:p>
    <w:p w:rsidR="00B2344E" w:rsidRPr="00F8004F" w:rsidRDefault="00B2344E" w:rsidP="00B2344E">
      <w:pPr>
        <w:spacing w:after="0" w:line="20" w:lineRule="exact"/>
        <w:rPr>
          <w:rFonts w:ascii="Times New Roman" w:eastAsia="Times New Roman" w:hAnsi="Times New Roman" w:cs="Arial"/>
          <w:sz w:val="20"/>
          <w:szCs w:val="20"/>
          <w:lang w:eastAsia="fr-FR"/>
        </w:rPr>
      </w:pPr>
    </w:p>
    <w:p w:rsidR="00B2344E" w:rsidRPr="00F8004F" w:rsidRDefault="00B2344E" w:rsidP="00B2344E">
      <w:pPr>
        <w:spacing w:after="0" w:line="20" w:lineRule="exact"/>
        <w:rPr>
          <w:rFonts w:ascii="Times New Roman" w:eastAsia="Times New Roman" w:hAnsi="Times New Roman" w:cs="Arial"/>
          <w:sz w:val="20"/>
          <w:szCs w:val="20"/>
          <w:lang w:eastAsia="fr-FR"/>
        </w:rPr>
      </w:pPr>
    </w:p>
    <w:p w:rsidR="00B2344E" w:rsidRPr="00F8004F" w:rsidRDefault="00B2344E" w:rsidP="00B2344E">
      <w:pPr>
        <w:spacing w:after="0" w:line="20" w:lineRule="exact"/>
        <w:rPr>
          <w:rFonts w:ascii="Times New Roman" w:eastAsia="Times New Roman" w:hAnsi="Times New Roman" w:cs="Arial"/>
          <w:sz w:val="20"/>
          <w:szCs w:val="20"/>
          <w:lang w:eastAsia="fr-FR"/>
        </w:rPr>
      </w:pPr>
    </w:p>
    <w:p w:rsidR="00B2344E" w:rsidRPr="00F8004F" w:rsidRDefault="00B2344E" w:rsidP="00B2344E">
      <w:pPr>
        <w:spacing w:after="0" w:line="20" w:lineRule="exact"/>
        <w:rPr>
          <w:rFonts w:ascii="Times New Roman" w:eastAsia="Times New Roman" w:hAnsi="Times New Roman" w:cs="Arial"/>
          <w:sz w:val="20"/>
          <w:szCs w:val="20"/>
          <w:lang w:eastAsia="fr-FR"/>
        </w:rPr>
      </w:pPr>
    </w:p>
    <w:p w:rsidR="00B2344E" w:rsidRPr="00F8004F" w:rsidRDefault="00B2344E" w:rsidP="00B2344E">
      <w:pPr>
        <w:spacing w:after="0" w:line="20" w:lineRule="exact"/>
        <w:rPr>
          <w:rFonts w:ascii="Times New Roman" w:eastAsia="Times New Roman" w:hAnsi="Times New Roman" w:cs="Arial"/>
          <w:sz w:val="20"/>
          <w:szCs w:val="20"/>
          <w:lang w:eastAsia="fr-FR"/>
        </w:rPr>
      </w:pPr>
    </w:p>
    <w:p w:rsidR="00B2344E" w:rsidRPr="00F8004F" w:rsidRDefault="00B2344E" w:rsidP="00B2344E">
      <w:pPr>
        <w:spacing w:after="0" w:line="20" w:lineRule="exact"/>
        <w:rPr>
          <w:rFonts w:ascii="Times New Roman" w:eastAsia="Times New Roman" w:hAnsi="Times New Roman" w:cs="Arial"/>
          <w:sz w:val="20"/>
          <w:szCs w:val="20"/>
          <w:lang w:eastAsia="fr-FR"/>
        </w:rPr>
      </w:pPr>
    </w:p>
    <w:p w:rsidR="00B2344E" w:rsidRPr="00F8004F" w:rsidRDefault="00B2344E" w:rsidP="00B2344E">
      <w:pPr>
        <w:spacing w:after="0" w:line="20" w:lineRule="exact"/>
        <w:rPr>
          <w:rFonts w:ascii="Times New Roman" w:eastAsia="Times New Roman" w:hAnsi="Times New Roman" w:cs="Arial"/>
          <w:sz w:val="20"/>
          <w:szCs w:val="20"/>
          <w:lang w:eastAsia="fr-FR"/>
        </w:rPr>
      </w:pPr>
    </w:p>
    <w:p w:rsidR="00B2344E" w:rsidRPr="00F8004F" w:rsidRDefault="00B2344E" w:rsidP="00B2344E">
      <w:pPr>
        <w:spacing w:after="0" w:line="200" w:lineRule="exact"/>
        <w:rPr>
          <w:rFonts w:ascii="Times New Roman" w:eastAsia="Times New Roman" w:hAnsi="Times New Roman" w:cs="Arial"/>
          <w:sz w:val="20"/>
          <w:szCs w:val="20"/>
          <w:lang w:eastAsia="fr-FR"/>
        </w:rPr>
      </w:pPr>
      <w:r w:rsidRPr="00F8004F">
        <w:rPr>
          <w:rFonts w:ascii="Times New Roman" w:eastAsia="Times New Roman" w:hAnsi="Times New Roman" w:cs="Arial"/>
          <w:b/>
          <w:i/>
          <w:szCs w:val="20"/>
          <w:lang w:eastAsia="fr-FR"/>
        </w:rPr>
        <w:t xml:space="preserve">                                                                                                                                                       </w:t>
      </w:r>
    </w:p>
    <w:p w:rsidR="00B2344E" w:rsidRPr="00F8004F" w:rsidRDefault="00B2344E" w:rsidP="00B2344E">
      <w:pPr>
        <w:spacing w:after="0" w:line="237" w:lineRule="exact"/>
        <w:rPr>
          <w:rFonts w:ascii="Times New Roman" w:eastAsia="Times New Roman" w:hAnsi="Times New Roman" w:cs="Arial"/>
          <w:sz w:val="20"/>
          <w:szCs w:val="20"/>
          <w:lang w:eastAsia="fr-FR"/>
        </w:rPr>
      </w:pPr>
      <w:r w:rsidRPr="00F8004F">
        <w:rPr>
          <w:rFonts w:ascii="Times New Roman" w:eastAsia="Times New Roman" w:hAnsi="Times New Roman" w:cs="Arial"/>
          <w:sz w:val="20"/>
          <w:szCs w:val="20"/>
          <w:lang w:eastAsia="fr-FR"/>
        </w:rPr>
        <w:t xml:space="preserve">  </w:t>
      </w:r>
    </w:p>
    <w:p w:rsidR="00B2344E" w:rsidRPr="00F8004F" w:rsidRDefault="00B2344E" w:rsidP="00B2344E">
      <w:pPr>
        <w:spacing w:after="0" w:line="0" w:lineRule="atLeast"/>
        <w:ind w:right="20"/>
        <w:jc w:val="center"/>
        <w:rPr>
          <w:rFonts w:ascii="Times New Roman" w:eastAsia="Times New Roman" w:hAnsi="Times New Roman" w:cs="Arial"/>
          <w:b/>
          <w:sz w:val="32"/>
          <w:szCs w:val="20"/>
          <w:lang w:eastAsia="fr-FR"/>
        </w:rPr>
      </w:pPr>
      <w:r w:rsidRPr="00F8004F">
        <w:rPr>
          <w:rFonts w:ascii="Times New Roman" w:eastAsia="Times New Roman" w:hAnsi="Times New Roman" w:cs="Arial"/>
          <w:b/>
          <w:sz w:val="32"/>
          <w:szCs w:val="20"/>
          <w:lang w:eastAsia="fr-FR"/>
        </w:rPr>
        <w:t>Documentation 2</w:t>
      </w:r>
    </w:p>
    <w:p w:rsidR="00B2344E" w:rsidRPr="00F8004F" w:rsidRDefault="00B2344E" w:rsidP="00B2344E">
      <w:pPr>
        <w:spacing w:after="0" w:line="237" w:lineRule="exact"/>
        <w:rPr>
          <w:rFonts w:ascii="Times New Roman" w:eastAsia="Times New Roman" w:hAnsi="Times New Roman" w:cs="Arial"/>
          <w:sz w:val="20"/>
          <w:szCs w:val="20"/>
          <w:lang w:eastAsia="fr-FR"/>
        </w:rPr>
      </w:pPr>
    </w:p>
    <w:p w:rsidR="00B2344E" w:rsidRPr="00F8004F" w:rsidRDefault="00B2344E" w:rsidP="00B2344E">
      <w:pPr>
        <w:spacing w:after="0" w:line="237" w:lineRule="exact"/>
        <w:rPr>
          <w:rFonts w:ascii="Times New Roman" w:eastAsia="Times New Roman" w:hAnsi="Times New Roman" w:cs="Arial"/>
          <w:sz w:val="20"/>
          <w:szCs w:val="20"/>
          <w:lang w:eastAsia="fr-FR"/>
        </w:rPr>
      </w:pPr>
    </w:p>
    <w:p w:rsidR="00B2344E" w:rsidRPr="00F8004F" w:rsidRDefault="00B2344E" w:rsidP="00B2344E">
      <w:pPr>
        <w:spacing w:after="0" w:line="0" w:lineRule="atLeast"/>
        <w:ind w:right="220"/>
        <w:jc w:val="center"/>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 xml:space="preserve">Transformateurs imprégnés classe H – 160 à 2500 </w:t>
      </w:r>
      <w:proofErr w:type="spellStart"/>
      <w:r w:rsidRPr="00F8004F">
        <w:rPr>
          <w:rFonts w:ascii="Times New Roman" w:eastAsia="Times New Roman" w:hAnsi="Times New Roman" w:cs="Arial"/>
          <w:sz w:val="24"/>
          <w:szCs w:val="20"/>
          <w:lang w:eastAsia="fr-FR"/>
        </w:rPr>
        <w:t>kVA</w:t>
      </w:r>
      <w:proofErr w:type="spellEnd"/>
    </w:p>
    <w:p w:rsidR="00B2344E" w:rsidRPr="00F8004F" w:rsidRDefault="00B2344E" w:rsidP="00B2344E">
      <w:pPr>
        <w:spacing w:after="0" w:line="36" w:lineRule="exact"/>
        <w:rPr>
          <w:rFonts w:ascii="Times New Roman" w:eastAsia="Times New Roman" w:hAnsi="Times New Roman" w:cs="Arial"/>
          <w:sz w:val="20"/>
          <w:szCs w:val="20"/>
          <w:lang w:eastAsia="fr-FR"/>
        </w:rPr>
      </w:pPr>
    </w:p>
    <w:p w:rsidR="00B2344E" w:rsidRPr="00F8004F" w:rsidRDefault="00B2344E" w:rsidP="00B2344E">
      <w:pPr>
        <w:spacing w:after="0" w:line="0" w:lineRule="atLeast"/>
        <w:ind w:right="220"/>
        <w:jc w:val="center"/>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Transformateurs secs</w:t>
      </w:r>
    </w:p>
    <w:p w:rsidR="00B2344E" w:rsidRPr="00E85BAC" w:rsidRDefault="00B2344E" w:rsidP="00B2344E">
      <w:pPr>
        <w:spacing w:after="0" w:line="0" w:lineRule="atLeast"/>
        <w:ind w:left="160"/>
        <w:rPr>
          <w:rFonts w:ascii="Times New Roman" w:eastAsia="Times New Roman" w:hAnsi="Times New Roman" w:cs="Arial"/>
          <w:sz w:val="24"/>
          <w:szCs w:val="20"/>
          <w:lang w:eastAsia="fr-FR"/>
        </w:rPr>
      </w:pPr>
      <w:r>
        <w:rPr>
          <w:rFonts w:ascii="Times New Roman" w:eastAsia="Times New Roman" w:hAnsi="Times New Roman" w:cs="Arial"/>
          <w:sz w:val="24"/>
          <w:szCs w:val="20"/>
          <w:lang w:eastAsia="fr-FR"/>
        </w:rPr>
        <w:t>Construction</w:t>
      </w:r>
    </w:p>
    <w:p w:rsidR="00B2344E" w:rsidRPr="00F8004F" w:rsidRDefault="00B2344E" w:rsidP="00B2344E">
      <w:pPr>
        <w:spacing w:after="0" w:line="0" w:lineRule="atLeast"/>
        <w:ind w:left="160"/>
        <w:rPr>
          <w:rFonts w:ascii="Times New Roman" w:eastAsia="Times New Roman" w:hAnsi="Times New Roman" w:cs="Arial"/>
          <w:b/>
          <w:sz w:val="20"/>
          <w:szCs w:val="20"/>
          <w:lang w:eastAsia="fr-FR"/>
        </w:rPr>
      </w:pPr>
      <w:r w:rsidRPr="00F8004F">
        <w:rPr>
          <w:rFonts w:ascii="Times New Roman" w:eastAsia="Times New Roman" w:hAnsi="Times New Roman" w:cs="Arial"/>
          <w:b/>
          <w:sz w:val="20"/>
          <w:szCs w:val="20"/>
          <w:lang w:eastAsia="fr-FR"/>
        </w:rPr>
        <w:t>Enroulements</w:t>
      </w:r>
    </w:p>
    <w:p w:rsidR="00B2344E" w:rsidRPr="00F8004F" w:rsidRDefault="00B2344E" w:rsidP="00B2344E">
      <w:pPr>
        <w:spacing w:after="0" w:line="27" w:lineRule="exact"/>
        <w:rPr>
          <w:rFonts w:ascii="Times New Roman" w:eastAsia="Times New Roman" w:hAnsi="Times New Roman" w:cs="Arial"/>
          <w:sz w:val="20"/>
          <w:szCs w:val="20"/>
          <w:lang w:eastAsia="fr-FR"/>
        </w:rPr>
      </w:pPr>
    </w:p>
    <w:p w:rsidR="00B2344E" w:rsidRPr="00F8004F" w:rsidRDefault="00B2344E" w:rsidP="00B2344E">
      <w:pPr>
        <w:spacing w:after="0" w:line="0" w:lineRule="atLeast"/>
        <w:ind w:left="160"/>
        <w:rPr>
          <w:rFonts w:ascii="Times New Roman" w:eastAsia="Times New Roman" w:hAnsi="Times New Roman" w:cs="Arial"/>
          <w:sz w:val="20"/>
          <w:szCs w:val="20"/>
          <w:lang w:eastAsia="fr-FR"/>
        </w:rPr>
      </w:pPr>
      <w:r w:rsidRPr="00F8004F">
        <w:rPr>
          <w:rFonts w:ascii="Times New Roman" w:eastAsia="Times New Roman" w:hAnsi="Times New Roman" w:cs="Arial"/>
          <w:sz w:val="20"/>
          <w:szCs w:val="20"/>
          <w:lang w:eastAsia="fr-FR"/>
        </w:rPr>
        <w:t>Du type concentrique en couches ou en bobines.</w:t>
      </w:r>
    </w:p>
    <w:p w:rsidR="00B2344E" w:rsidRPr="00F8004F" w:rsidRDefault="00B2344E" w:rsidP="00B2344E">
      <w:pPr>
        <w:spacing w:after="0" w:line="0" w:lineRule="atLeast"/>
        <w:ind w:left="160"/>
        <w:rPr>
          <w:rFonts w:ascii="Times New Roman" w:eastAsia="Times New Roman" w:hAnsi="Times New Roman" w:cs="Arial"/>
          <w:sz w:val="20"/>
          <w:szCs w:val="20"/>
          <w:lang w:eastAsia="fr-FR"/>
        </w:rPr>
      </w:pPr>
      <w:r w:rsidRPr="00F8004F">
        <w:rPr>
          <w:rFonts w:ascii="Times New Roman" w:eastAsia="Times New Roman" w:hAnsi="Times New Roman" w:cs="Arial"/>
          <w:sz w:val="20"/>
          <w:szCs w:val="20"/>
          <w:lang w:eastAsia="fr-FR"/>
        </w:rPr>
        <w:t>-BT le plus souvent en feuilles de cuivre pour U&lt;750V.</w:t>
      </w:r>
    </w:p>
    <w:p w:rsidR="00B2344E" w:rsidRPr="00F8004F" w:rsidRDefault="00B2344E" w:rsidP="00B2344E">
      <w:pPr>
        <w:spacing w:after="0" w:line="0" w:lineRule="atLeast"/>
        <w:ind w:left="160"/>
        <w:rPr>
          <w:rFonts w:ascii="Times New Roman" w:eastAsia="Times New Roman" w:hAnsi="Times New Roman" w:cs="Arial"/>
          <w:sz w:val="20"/>
          <w:szCs w:val="20"/>
          <w:lang w:eastAsia="fr-FR"/>
        </w:rPr>
      </w:pPr>
      <w:r w:rsidRPr="00F8004F">
        <w:rPr>
          <w:rFonts w:ascii="Times New Roman" w:eastAsia="Times New Roman" w:hAnsi="Times New Roman" w:cs="Arial"/>
          <w:sz w:val="20"/>
          <w:szCs w:val="20"/>
          <w:lang w:eastAsia="fr-FR"/>
        </w:rPr>
        <w:t xml:space="preserve">-HT en galettes (fil rond émaillé ou méplats isolés au </w:t>
      </w:r>
      <w:proofErr w:type="spellStart"/>
      <w:r w:rsidRPr="00F8004F">
        <w:rPr>
          <w:rFonts w:ascii="Times New Roman" w:eastAsia="Times New Roman" w:hAnsi="Times New Roman" w:cs="Arial"/>
          <w:sz w:val="20"/>
          <w:szCs w:val="20"/>
          <w:lang w:eastAsia="fr-FR"/>
        </w:rPr>
        <w:t>Nomex</w:t>
      </w:r>
      <w:proofErr w:type="spellEnd"/>
      <w:r w:rsidRPr="00F8004F">
        <w:rPr>
          <w:rFonts w:ascii="Times New Roman" w:eastAsia="Times New Roman" w:hAnsi="Times New Roman" w:cs="Arial"/>
          <w:sz w:val="20"/>
          <w:szCs w:val="20"/>
          <w:lang w:eastAsia="fr-FR"/>
        </w:rPr>
        <w:t>) ; il peut être réalisé aussi en couches.</w:t>
      </w:r>
    </w:p>
    <w:p w:rsidR="00B2344E" w:rsidRPr="00F8004F" w:rsidRDefault="00B2344E" w:rsidP="00B2344E">
      <w:pPr>
        <w:spacing w:after="0" w:line="0" w:lineRule="atLeast"/>
        <w:ind w:left="160"/>
        <w:rPr>
          <w:rFonts w:ascii="Times New Roman" w:eastAsia="Times New Roman" w:hAnsi="Times New Roman" w:cs="Arial"/>
          <w:sz w:val="20"/>
          <w:szCs w:val="20"/>
          <w:lang w:eastAsia="fr-FR"/>
        </w:rPr>
      </w:pPr>
      <w:r w:rsidRPr="00F8004F">
        <w:rPr>
          <w:rFonts w:ascii="Times New Roman" w:eastAsia="Times New Roman" w:hAnsi="Times New Roman" w:cs="Arial"/>
          <w:sz w:val="20"/>
          <w:szCs w:val="20"/>
          <w:lang w:eastAsia="fr-FR"/>
        </w:rPr>
        <w:t xml:space="preserve">L’isolation entre les enroulements est assurée par des isolants à base de </w:t>
      </w:r>
      <w:proofErr w:type="spellStart"/>
      <w:r w:rsidRPr="00F8004F">
        <w:rPr>
          <w:rFonts w:ascii="Times New Roman" w:eastAsia="Times New Roman" w:hAnsi="Times New Roman" w:cs="Arial"/>
          <w:sz w:val="20"/>
          <w:szCs w:val="20"/>
          <w:lang w:eastAsia="fr-FR"/>
        </w:rPr>
        <w:t>micra</w:t>
      </w:r>
      <w:proofErr w:type="spellEnd"/>
      <w:r w:rsidRPr="00F8004F">
        <w:rPr>
          <w:rFonts w:ascii="Times New Roman" w:eastAsia="Times New Roman" w:hAnsi="Times New Roman" w:cs="Arial"/>
          <w:sz w:val="20"/>
          <w:szCs w:val="20"/>
          <w:lang w:eastAsia="fr-FR"/>
        </w:rPr>
        <w:t>.</w:t>
      </w:r>
    </w:p>
    <w:p w:rsidR="00B2344E" w:rsidRPr="00F8004F" w:rsidRDefault="00B2344E" w:rsidP="00B2344E">
      <w:pPr>
        <w:spacing w:after="0" w:line="0" w:lineRule="atLeast"/>
        <w:ind w:left="160"/>
        <w:rPr>
          <w:rFonts w:ascii="Times New Roman" w:eastAsia="Times New Roman" w:hAnsi="Times New Roman" w:cs="Arial"/>
          <w:sz w:val="20"/>
          <w:szCs w:val="20"/>
          <w:lang w:eastAsia="fr-FR"/>
        </w:rPr>
      </w:pPr>
      <w:r w:rsidRPr="00F8004F">
        <w:rPr>
          <w:rFonts w:ascii="Times New Roman" w:eastAsia="Times New Roman" w:hAnsi="Times New Roman" w:cs="Arial"/>
          <w:sz w:val="20"/>
          <w:szCs w:val="20"/>
          <w:lang w:eastAsia="fr-FR"/>
        </w:rPr>
        <w:t>L’imprégnation est faite à cœur et la polymérisation à 200°C avant montage et calage sur le circuit magnétique.</w:t>
      </w:r>
    </w:p>
    <w:p w:rsidR="00B2344E" w:rsidRPr="00F8004F" w:rsidRDefault="00B2344E" w:rsidP="00B2344E">
      <w:pPr>
        <w:spacing w:after="0" w:line="0" w:lineRule="atLeast"/>
        <w:ind w:left="160"/>
        <w:rPr>
          <w:rFonts w:ascii="Times New Roman" w:eastAsia="Times New Roman" w:hAnsi="Times New Roman" w:cs="Arial"/>
          <w:sz w:val="20"/>
          <w:szCs w:val="20"/>
          <w:lang w:eastAsia="fr-FR"/>
        </w:rPr>
      </w:pPr>
      <w:r w:rsidRPr="00F8004F">
        <w:rPr>
          <w:rFonts w:ascii="Times New Roman" w:eastAsia="Times New Roman" w:hAnsi="Times New Roman" w:cs="Arial"/>
          <w:sz w:val="20"/>
          <w:szCs w:val="20"/>
          <w:lang w:eastAsia="fr-FR"/>
        </w:rPr>
        <w:t>Les canaux de refroidissement à l’intérieur des bobinages et à la surface du circuit magnétique assurent la</w:t>
      </w:r>
    </w:p>
    <w:p w:rsidR="00B2344E" w:rsidRPr="00F8004F" w:rsidRDefault="00B2344E" w:rsidP="00B2344E">
      <w:pPr>
        <w:spacing w:after="0" w:line="0" w:lineRule="atLeast"/>
        <w:ind w:left="160"/>
        <w:rPr>
          <w:rFonts w:ascii="Times New Roman" w:eastAsia="Times New Roman" w:hAnsi="Times New Roman" w:cs="Arial"/>
          <w:sz w:val="20"/>
          <w:szCs w:val="20"/>
          <w:lang w:eastAsia="fr-FR"/>
        </w:rPr>
      </w:pPr>
      <w:proofErr w:type="gramStart"/>
      <w:r w:rsidRPr="00F8004F">
        <w:rPr>
          <w:rFonts w:ascii="Times New Roman" w:eastAsia="Times New Roman" w:hAnsi="Times New Roman" w:cs="Arial"/>
          <w:sz w:val="20"/>
          <w:szCs w:val="20"/>
          <w:lang w:eastAsia="fr-FR"/>
        </w:rPr>
        <w:t>circulation</w:t>
      </w:r>
      <w:proofErr w:type="gramEnd"/>
      <w:r w:rsidRPr="00F8004F">
        <w:rPr>
          <w:rFonts w:ascii="Times New Roman" w:eastAsia="Times New Roman" w:hAnsi="Times New Roman" w:cs="Arial"/>
          <w:sz w:val="20"/>
          <w:szCs w:val="20"/>
          <w:lang w:eastAsia="fr-FR"/>
        </w:rPr>
        <w:t xml:space="preserve"> de l’air.</w:t>
      </w:r>
    </w:p>
    <w:p w:rsidR="00B2344E" w:rsidRPr="00F8004F" w:rsidRDefault="00B2344E" w:rsidP="00B2344E">
      <w:pPr>
        <w:spacing w:after="0" w:line="0" w:lineRule="atLeast"/>
        <w:ind w:left="160"/>
        <w:rPr>
          <w:rFonts w:ascii="Times New Roman" w:eastAsia="Times New Roman" w:hAnsi="Times New Roman" w:cs="Arial"/>
          <w:sz w:val="20"/>
          <w:szCs w:val="20"/>
          <w:lang w:eastAsia="fr-FR"/>
        </w:rPr>
      </w:pPr>
      <w:r w:rsidRPr="00F8004F">
        <w:rPr>
          <w:rFonts w:ascii="Times New Roman" w:eastAsia="Times New Roman" w:hAnsi="Times New Roman" w:cs="Arial"/>
          <w:sz w:val="20"/>
          <w:szCs w:val="20"/>
          <w:lang w:eastAsia="fr-FR"/>
        </w:rPr>
        <w:t>Circuit magnétique</w:t>
      </w:r>
    </w:p>
    <w:p w:rsidR="00B2344E" w:rsidRPr="00F8004F" w:rsidRDefault="00B2344E" w:rsidP="00B2344E">
      <w:pPr>
        <w:spacing w:after="0" w:line="0" w:lineRule="atLeast"/>
        <w:ind w:left="160" w:right="420"/>
        <w:rPr>
          <w:rFonts w:ascii="Times New Roman" w:eastAsia="Times New Roman" w:hAnsi="Times New Roman" w:cs="Arial"/>
          <w:sz w:val="20"/>
          <w:szCs w:val="20"/>
          <w:lang w:eastAsia="fr-FR"/>
        </w:rPr>
      </w:pPr>
      <w:r w:rsidRPr="00F8004F">
        <w:rPr>
          <w:rFonts w:ascii="Times New Roman" w:eastAsia="Times New Roman" w:hAnsi="Times New Roman" w:cs="Arial"/>
          <w:sz w:val="20"/>
          <w:szCs w:val="20"/>
          <w:lang w:eastAsia="fr-FR"/>
        </w:rPr>
        <w:t>Le serrage est assuré par calage de tôles magnétiques avec armatures rigides. La protection contre l’oxydation est as</w:t>
      </w:r>
      <w:r>
        <w:rPr>
          <w:rFonts w:ascii="Times New Roman" w:eastAsia="Times New Roman" w:hAnsi="Times New Roman" w:cs="Arial"/>
          <w:sz w:val="20"/>
          <w:szCs w:val="20"/>
          <w:lang w:eastAsia="fr-FR"/>
        </w:rPr>
        <w:t>surée par une couche de vernis.</w:t>
      </w:r>
    </w:p>
    <w:p w:rsidR="00B2344E" w:rsidRDefault="00B2344E" w:rsidP="00B2344E">
      <w:pPr>
        <w:spacing w:after="0" w:line="200" w:lineRule="exact"/>
        <w:rPr>
          <w:rFonts w:ascii="Times New Roman" w:eastAsia="Times New Roman" w:hAnsi="Times New Roman" w:cs="Arial"/>
          <w:sz w:val="20"/>
          <w:szCs w:val="20"/>
          <w:lang w:eastAsia="fr-FR"/>
        </w:rPr>
      </w:pPr>
    </w:p>
    <w:p w:rsidR="00B2344E" w:rsidRDefault="00B2344E" w:rsidP="00B2344E">
      <w:pPr>
        <w:spacing w:after="0" w:line="200" w:lineRule="exact"/>
        <w:rPr>
          <w:rFonts w:ascii="Times New Roman" w:eastAsia="Times New Roman" w:hAnsi="Times New Roman" w:cs="Arial"/>
          <w:sz w:val="20"/>
          <w:szCs w:val="20"/>
          <w:lang w:eastAsia="fr-FR"/>
        </w:rPr>
      </w:pPr>
    </w:p>
    <w:p w:rsidR="00B2344E" w:rsidRDefault="00B2344E" w:rsidP="00B2344E">
      <w:pPr>
        <w:spacing w:after="0" w:line="200" w:lineRule="exact"/>
        <w:rPr>
          <w:rFonts w:ascii="Times New Roman" w:eastAsia="Times New Roman" w:hAnsi="Times New Roman" w:cs="Arial"/>
          <w:sz w:val="20"/>
          <w:szCs w:val="20"/>
          <w:lang w:eastAsia="fr-FR"/>
        </w:rPr>
      </w:pPr>
    </w:p>
    <w:p w:rsidR="00B2344E" w:rsidRDefault="00B2344E" w:rsidP="00B2344E">
      <w:pPr>
        <w:spacing w:after="0" w:line="200" w:lineRule="exact"/>
        <w:rPr>
          <w:rFonts w:ascii="Times New Roman" w:eastAsia="Times New Roman" w:hAnsi="Times New Roman" w:cs="Arial"/>
          <w:sz w:val="20"/>
          <w:szCs w:val="20"/>
          <w:lang w:eastAsia="fr-FR"/>
        </w:rPr>
      </w:pPr>
    </w:p>
    <w:p w:rsidR="00B2344E" w:rsidRDefault="00B2344E" w:rsidP="00B2344E">
      <w:pPr>
        <w:spacing w:after="0" w:line="200" w:lineRule="exact"/>
        <w:rPr>
          <w:rFonts w:ascii="Times New Roman" w:eastAsia="Times New Roman" w:hAnsi="Times New Roman" w:cs="Arial"/>
          <w:sz w:val="20"/>
          <w:szCs w:val="20"/>
          <w:lang w:eastAsia="fr-FR"/>
        </w:rPr>
      </w:pPr>
    </w:p>
    <w:p w:rsidR="00B2344E" w:rsidRDefault="00B2344E" w:rsidP="00B2344E"/>
    <w:p w:rsidR="00B2344E" w:rsidRDefault="00B2344E" w:rsidP="00B2344E"/>
    <w:p w:rsidR="00B2344E" w:rsidRDefault="00B2344E">
      <w:bookmarkStart w:id="2" w:name="_GoBack"/>
      <w:bookmarkEnd w:id="2"/>
    </w:p>
    <w:sectPr w:rsidR="00B2344E" w:rsidSect="00B2344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66EF438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4E"/>
    <w:rsid w:val="00716D91"/>
    <w:rsid w:val="00B234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2020-04-13T15:33:00Z</dcterms:created>
  <dcterms:modified xsi:type="dcterms:W3CDTF">2020-04-13T15:34:00Z</dcterms:modified>
</cp:coreProperties>
</file>