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EA1" w:rsidRPr="00881AC7" w:rsidRDefault="000B7876" w:rsidP="005C7393">
      <w:pPr>
        <w:autoSpaceDE w:val="0"/>
        <w:autoSpaceDN w:val="0"/>
        <w:adjustRightInd w:val="0"/>
        <w:spacing w:before="120" w:after="0"/>
        <w:jc w:val="both"/>
        <w:rPr>
          <w:rFonts w:ascii="Times New Roman" w:hAnsi="Times New Roman" w:cs="Times New Roman"/>
          <w:b/>
          <w:sz w:val="24"/>
          <w:szCs w:val="24"/>
        </w:rPr>
      </w:pPr>
      <w:r w:rsidRPr="00881AC7">
        <w:rPr>
          <w:rFonts w:ascii="Times New Roman" w:hAnsi="Times New Roman" w:cs="Times New Roman"/>
          <w:b/>
          <w:sz w:val="24"/>
          <w:szCs w:val="24"/>
        </w:rPr>
        <w:t>Géologie du Nord d</w:t>
      </w:r>
      <w:r w:rsidR="001C7004" w:rsidRPr="00881AC7">
        <w:rPr>
          <w:rFonts w:ascii="Times New Roman" w:hAnsi="Times New Roman" w:cs="Times New Roman"/>
          <w:b/>
          <w:sz w:val="24"/>
          <w:szCs w:val="24"/>
        </w:rPr>
        <w:t>e l</w:t>
      </w:r>
      <w:r w:rsidRPr="00881AC7">
        <w:rPr>
          <w:rFonts w:ascii="Times New Roman" w:hAnsi="Times New Roman" w:cs="Times New Roman"/>
          <w:b/>
          <w:sz w:val="24"/>
          <w:szCs w:val="24"/>
        </w:rPr>
        <w:t>’Algérie</w:t>
      </w:r>
    </w:p>
    <w:p w:rsidR="00A41AF0" w:rsidRDefault="00A41AF0" w:rsidP="00A41AF0">
      <w:pPr>
        <w:autoSpaceDE w:val="0"/>
        <w:autoSpaceDN w:val="0"/>
        <w:adjustRightInd w:val="0"/>
        <w:spacing w:before="120" w:after="0"/>
        <w:ind w:left="708" w:firstLine="708"/>
        <w:jc w:val="both"/>
        <w:rPr>
          <w:rFonts w:ascii="Times New Roman" w:hAnsi="Times New Roman" w:cs="Times New Roman"/>
          <w:color w:val="1F497D" w:themeColor="text2"/>
          <w:sz w:val="24"/>
          <w:szCs w:val="24"/>
        </w:rPr>
      </w:pPr>
      <w:r>
        <w:rPr>
          <w:rFonts w:ascii="Times New Roman" w:hAnsi="Times New Roman" w:cs="Times New Roman"/>
          <w:noProof/>
          <w:sz w:val="24"/>
          <w:szCs w:val="24"/>
          <w:lang w:eastAsia="fr-FR"/>
        </w:rPr>
        <w:drawing>
          <wp:anchor distT="0" distB="0" distL="114300" distR="114300" simplePos="0" relativeHeight="251659264" behindDoc="0" locked="0" layoutInCell="1" allowOverlap="1">
            <wp:simplePos x="0" y="0"/>
            <wp:positionH relativeFrom="margin">
              <wp:posOffset>224790</wp:posOffset>
            </wp:positionH>
            <wp:positionV relativeFrom="margin">
              <wp:posOffset>1631315</wp:posOffset>
            </wp:positionV>
            <wp:extent cx="5491480" cy="3736340"/>
            <wp:effectExtent l="1905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a:blip>
                    <a:srcRect/>
                    <a:stretch>
                      <a:fillRect/>
                    </a:stretch>
                  </pic:blipFill>
                  <pic:spPr bwMode="auto">
                    <a:xfrm>
                      <a:off x="0" y="0"/>
                      <a:ext cx="5491480" cy="3736340"/>
                    </a:xfrm>
                    <a:prstGeom prst="rect">
                      <a:avLst/>
                    </a:prstGeom>
                    <a:noFill/>
                    <a:ln w="9525">
                      <a:noFill/>
                      <a:miter lim="800000"/>
                      <a:headEnd/>
                      <a:tailEnd/>
                    </a:ln>
                  </pic:spPr>
                </pic:pic>
              </a:graphicData>
            </a:graphic>
          </wp:anchor>
        </w:drawing>
      </w:r>
      <w:r w:rsidR="00700036">
        <w:rPr>
          <w:rFonts w:ascii="Times New Roman" w:hAnsi="Times New Roman" w:cs="Times New Roman"/>
          <w:noProof/>
          <w:sz w:val="24"/>
          <w:szCs w:val="24"/>
          <w:lang w:eastAsia="fr-FR"/>
        </w:rPr>
        <w:drawing>
          <wp:anchor distT="0" distB="0" distL="114300" distR="114300" simplePos="0" relativeHeight="251684864" behindDoc="0" locked="0" layoutInCell="1" allowOverlap="1">
            <wp:simplePos x="0" y="0"/>
            <wp:positionH relativeFrom="margin">
              <wp:align>center</wp:align>
            </wp:positionH>
            <wp:positionV relativeFrom="margin">
              <wp:posOffset>5476875</wp:posOffset>
            </wp:positionV>
            <wp:extent cx="5524500" cy="3790950"/>
            <wp:effectExtent l="19050" t="0" r="0" b="0"/>
            <wp:wrapSquare wrapText="bothSides"/>
            <wp:docPr id="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524500" cy="3790950"/>
                    </a:xfrm>
                    <a:prstGeom prst="rect">
                      <a:avLst/>
                    </a:prstGeom>
                    <a:noFill/>
                    <a:ln w="9525">
                      <a:noFill/>
                      <a:miter lim="800000"/>
                      <a:headEnd/>
                      <a:tailEnd/>
                    </a:ln>
                  </pic:spPr>
                </pic:pic>
              </a:graphicData>
            </a:graphic>
          </wp:anchor>
        </w:drawing>
      </w:r>
      <w:r w:rsidR="00D661E9" w:rsidRPr="00881AC7">
        <w:rPr>
          <w:rFonts w:ascii="Times New Roman" w:hAnsi="Times New Roman" w:cs="Times New Roman"/>
          <w:sz w:val="24"/>
          <w:szCs w:val="24"/>
        </w:rPr>
        <w:t>Le Nord de l’A</w:t>
      </w:r>
      <w:r w:rsidR="000151F3" w:rsidRPr="00881AC7">
        <w:rPr>
          <w:rFonts w:ascii="Times New Roman" w:hAnsi="Times New Roman" w:cs="Times New Roman"/>
          <w:sz w:val="24"/>
          <w:szCs w:val="24"/>
        </w:rPr>
        <w:t>lgérie</w:t>
      </w:r>
      <w:r w:rsidR="007A74C9" w:rsidRPr="00881AC7">
        <w:rPr>
          <w:rFonts w:ascii="Times New Roman" w:hAnsi="Times New Roman" w:cs="Times New Roman"/>
          <w:sz w:val="24"/>
          <w:szCs w:val="24"/>
        </w:rPr>
        <w:t xml:space="preserve"> fait partie de la chaîne alpine </w:t>
      </w:r>
      <w:r w:rsidR="007A74C9" w:rsidRPr="00C75518">
        <w:rPr>
          <w:rFonts w:ascii="Times New Roman" w:hAnsi="Times New Roman" w:cs="Times New Roman"/>
          <w:color w:val="FF0000"/>
          <w:sz w:val="24"/>
          <w:szCs w:val="24"/>
        </w:rPr>
        <w:t>(Maghrébides</w:t>
      </w:r>
      <w:r w:rsidR="007A74C9" w:rsidRPr="00881AC7">
        <w:rPr>
          <w:rFonts w:ascii="Times New Roman" w:hAnsi="Times New Roman" w:cs="Times New Roman"/>
          <w:sz w:val="24"/>
          <w:szCs w:val="24"/>
        </w:rPr>
        <w:t xml:space="preserve">) de la </w:t>
      </w:r>
      <w:r w:rsidR="000151F3" w:rsidRPr="00881AC7">
        <w:rPr>
          <w:rFonts w:ascii="Times New Roman" w:hAnsi="Times New Roman" w:cs="Times New Roman"/>
          <w:sz w:val="24"/>
          <w:szCs w:val="24"/>
        </w:rPr>
        <w:t xml:space="preserve">Méditerranée </w:t>
      </w:r>
      <w:r w:rsidR="007A74C9" w:rsidRPr="00881AC7">
        <w:rPr>
          <w:rFonts w:ascii="Times New Roman" w:hAnsi="Times New Roman" w:cs="Times New Roman"/>
          <w:sz w:val="24"/>
          <w:szCs w:val="24"/>
        </w:rPr>
        <w:t xml:space="preserve">résultant de l’évolution géodynamique de la </w:t>
      </w:r>
      <w:r w:rsidR="007A74C9" w:rsidRPr="00C75518">
        <w:rPr>
          <w:rFonts w:ascii="Times New Roman" w:hAnsi="Times New Roman" w:cs="Times New Roman"/>
          <w:color w:val="FF0000"/>
          <w:sz w:val="24"/>
          <w:szCs w:val="24"/>
        </w:rPr>
        <w:t>Téthys</w:t>
      </w:r>
      <w:r w:rsidR="000151F3" w:rsidRPr="00881AC7">
        <w:rPr>
          <w:rFonts w:ascii="Times New Roman" w:hAnsi="Times New Roman" w:cs="Times New Roman"/>
          <w:sz w:val="24"/>
          <w:szCs w:val="24"/>
        </w:rPr>
        <w:t>.</w:t>
      </w:r>
      <w:r w:rsidR="00034439" w:rsidRPr="00881AC7">
        <w:rPr>
          <w:rFonts w:ascii="Times New Roman" w:hAnsi="Times New Roman" w:cs="Times New Roman"/>
          <w:sz w:val="24"/>
          <w:szCs w:val="24"/>
        </w:rPr>
        <w:t xml:space="preserve">Les grandes étapes géodynamiques principales qui ont structuré le Nord de l’Algérie peuvent être résumées par trois grandes époques qui sont : </w:t>
      </w:r>
      <w:r w:rsidR="00034439" w:rsidRPr="00C75518">
        <w:rPr>
          <w:rFonts w:ascii="Times New Roman" w:hAnsi="Times New Roman" w:cs="Times New Roman"/>
          <w:color w:val="000000" w:themeColor="text1"/>
          <w:sz w:val="24"/>
          <w:szCs w:val="24"/>
        </w:rPr>
        <w:t>la période de</w:t>
      </w:r>
      <w:r w:rsidR="00034439" w:rsidRPr="00C75518">
        <w:rPr>
          <w:rFonts w:ascii="Times New Roman" w:hAnsi="Times New Roman" w:cs="Times New Roman"/>
          <w:color w:val="FF0000"/>
          <w:sz w:val="24"/>
          <w:szCs w:val="24"/>
        </w:rPr>
        <w:t xml:space="preserve"> rifting</w:t>
      </w:r>
      <w:r w:rsidR="00034439" w:rsidRPr="00C75518">
        <w:rPr>
          <w:rFonts w:ascii="Times New Roman" w:hAnsi="Times New Roman" w:cs="Times New Roman"/>
          <w:color w:val="1F497D" w:themeColor="text2"/>
          <w:sz w:val="24"/>
          <w:szCs w:val="24"/>
        </w:rPr>
        <w:t>(</w:t>
      </w:r>
      <w:r w:rsidR="00D3177B" w:rsidRPr="00C75518">
        <w:rPr>
          <w:rFonts w:ascii="Times New Roman" w:hAnsi="Times New Roman" w:cs="Times New Roman"/>
          <w:color w:val="1F497D" w:themeColor="text2"/>
          <w:sz w:val="24"/>
          <w:szCs w:val="24"/>
        </w:rPr>
        <w:t>Trias-</w:t>
      </w:r>
      <w:r w:rsidR="00034439" w:rsidRPr="00C75518">
        <w:rPr>
          <w:rFonts w:ascii="Times New Roman" w:hAnsi="Times New Roman" w:cs="Times New Roman"/>
          <w:color w:val="1F497D" w:themeColor="text2"/>
          <w:sz w:val="24"/>
          <w:szCs w:val="24"/>
        </w:rPr>
        <w:t>Lias),</w:t>
      </w:r>
      <w:r w:rsidR="00034439" w:rsidRPr="00881AC7">
        <w:rPr>
          <w:rFonts w:ascii="Times New Roman" w:hAnsi="Times New Roman" w:cs="Times New Roman"/>
          <w:sz w:val="24"/>
          <w:szCs w:val="24"/>
        </w:rPr>
        <w:t xml:space="preserve"> la période de </w:t>
      </w:r>
      <w:r w:rsidR="00034439" w:rsidRPr="00C75518">
        <w:rPr>
          <w:rFonts w:ascii="Times New Roman" w:hAnsi="Times New Roman" w:cs="Times New Roman"/>
          <w:color w:val="FF0000"/>
          <w:sz w:val="24"/>
          <w:szCs w:val="24"/>
        </w:rPr>
        <w:t>post-rifting</w:t>
      </w:r>
      <w:r w:rsidR="00034439" w:rsidRPr="00881AC7">
        <w:rPr>
          <w:rFonts w:ascii="Times New Roman" w:hAnsi="Times New Roman" w:cs="Times New Roman"/>
          <w:sz w:val="24"/>
          <w:szCs w:val="24"/>
        </w:rPr>
        <w:t xml:space="preserve"> (</w:t>
      </w:r>
      <w:r w:rsidR="00034439" w:rsidRPr="00C75518">
        <w:rPr>
          <w:rFonts w:ascii="Times New Roman" w:hAnsi="Times New Roman" w:cs="Times New Roman"/>
          <w:color w:val="1F497D" w:themeColor="text2"/>
          <w:sz w:val="24"/>
          <w:szCs w:val="24"/>
        </w:rPr>
        <w:t>Jurassique moyen à Crétacé supérieur)</w:t>
      </w:r>
      <w:r w:rsidR="000151F3" w:rsidRPr="00C75518">
        <w:rPr>
          <w:rFonts w:ascii="Times New Roman" w:hAnsi="Times New Roman" w:cs="Times New Roman"/>
          <w:color w:val="1F497D" w:themeColor="text2"/>
          <w:sz w:val="24"/>
          <w:szCs w:val="24"/>
        </w:rPr>
        <w:t>,</w:t>
      </w:r>
      <w:r w:rsidR="000151F3" w:rsidRPr="00881AC7">
        <w:rPr>
          <w:rFonts w:ascii="Times New Roman" w:hAnsi="Times New Roman" w:cs="Times New Roman"/>
          <w:sz w:val="24"/>
          <w:szCs w:val="24"/>
        </w:rPr>
        <w:t xml:space="preserve"> et la période d’</w:t>
      </w:r>
      <w:r w:rsidR="000151F3" w:rsidRPr="00C75518">
        <w:rPr>
          <w:rFonts w:ascii="Times New Roman" w:hAnsi="Times New Roman" w:cs="Times New Roman"/>
          <w:color w:val="FF0000"/>
          <w:sz w:val="24"/>
          <w:szCs w:val="24"/>
        </w:rPr>
        <w:t>inversion</w:t>
      </w:r>
      <w:r w:rsidR="000151F3" w:rsidRPr="00881AC7">
        <w:rPr>
          <w:rFonts w:ascii="Times New Roman" w:hAnsi="Times New Roman" w:cs="Times New Roman"/>
          <w:sz w:val="24"/>
          <w:szCs w:val="24"/>
        </w:rPr>
        <w:t xml:space="preserve"> qui débute tout </w:t>
      </w:r>
      <w:r w:rsidR="000151F3" w:rsidRPr="00C75518">
        <w:rPr>
          <w:rFonts w:ascii="Times New Roman" w:hAnsi="Times New Roman" w:cs="Times New Roman"/>
          <w:color w:val="1F497D" w:themeColor="text2"/>
          <w:sz w:val="24"/>
          <w:szCs w:val="24"/>
        </w:rPr>
        <w:t xml:space="preserve">début du Tertiaire est se poursuit jusqu'à nos jours. </w:t>
      </w:r>
    </w:p>
    <w:p w:rsidR="00300111" w:rsidRPr="00A41AF0" w:rsidRDefault="00300111" w:rsidP="00A41AF0">
      <w:pPr>
        <w:autoSpaceDE w:val="0"/>
        <w:autoSpaceDN w:val="0"/>
        <w:adjustRightInd w:val="0"/>
        <w:spacing w:before="120" w:after="0"/>
        <w:ind w:firstLine="708"/>
        <w:rPr>
          <w:rFonts w:ascii="Times New Roman" w:hAnsi="Times New Roman" w:cs="Times New Roman"/>
          <w:color w:val="1F497D" w:themeColor="text2"/>
          <w:sz w:val="24"/>
          <w:szCs w:val="24"/>
        </w:rPr>
      </w:pPr>
      <w:r w:rsidRPr="00C75518">
        <w:rPr>
          <w:rFonts w:ascii="Times New Roman" w:hAnsi="Times New Roman" w:cs="Times New Roman"/>
          <w:b/>
          <w:color w:val="FF0000"/>
          <w:sz w:val="24"/>
          <w:szCs w:val="24"/>
        </w:rPr>
        <w:lastRenderedPageBreak/>
        <w:t>La période de rifting</w:t>
      </w:r>
      <w:r w:rsidR="00D3177B" w:rsidRPr="00C75518">
        <w:rPr>
          <w:rFonts w:ascii="Times New Roman" w:hAnsi="Times New Roman" w:cs="Times New Roman"/>
          <w:b/>
          <w:color w:val="FF0000"/>
          <w:sz w:val="24"/>
          <w:szCs w:val="24"/>
        </w:rPr>
        <w:t> </w:t>
      </w:r>
      <w:r w:rsidR="00D3177B" w:rsidRPr="00881AC7">
        <w:rPr>
          <w:rFonts w:ascii="Times New Roman" w:hAnsi="Times New Roman" w:cs="Times New Roman"/>
          <w:b/>
          <w:sz w:val="24"/>
          <w:szCs w:val="24"/>
        </w:rPr>
        <w:t>: Trias- Lias</w:t>
      </w:r>
    </w:p>
    <w:p w:rsidR="00300111" w:rsidRPr="00881AC7" w:rsidRDefault="00300111" w:rsidP="00A41AF0">
      <w:pPr>
        <w:autoSpaceDE w:val="0"/>
        <w:autoSpaceDN w:val="0"/>
        <w:adjustRightInd w:val="0"/>
        <w:spacing w:before="120" w:after="0"/>
        <w:ind w:firstLine="708"/>
        <w:jc w:val="both"/>
        <w:rPr>
          <w:rFonts w:ascii="Times New Roman" w:hAnsi="Times New Roman" w:cs="Times New Roman"/>
          <w:sz w:val="24"/>
          <w:szCs w:val="24"/>
        </w:rPr>
      </w:pPr>
      <w:r w:rsidRPr="00A41AF0">
        <w:rPr>
          <w:rFonts w:ascii="Times New Roman" w:hAnsi="Times New Roman" w:cs="Times New Roman"/>
          <w:sz w:val="24"/>
          <w:szCs w:val="24"/>
          <w:u w:val="single"/>
        </w:rPr>
        <w:t>La première période permo-triasique</w:t>
      </w:r>
      <w:r w:rsidRPr="00881AC7">
        <w:rPr>
          <w:rFonts w:ascii="Times New Roman" w:hAnsi="Times New Roman" w:cs="Times New Roman"/>
          <w:sz w:val="24"/>
          <w:szCs w:val="24"/>
        </w:rPr>
        <w:t xml:space="preserve"> est contemporaine du début de la fragmentation </w:t>
      </w:r>
      <w:r w:rsidR="00B4576B" w:rsidRPr="00881AC7">
        <w:rPr>
          <w:rFonts w:ascii="Times New Roman" w:hAnsi="Times New Roman" w:cs="Times New Roman"/>
          <w:sz w:val="24"/>
          <w:szCs w:val="24"/>
        </w:rPr>
        <w:t>de la Pangée</w:t>
      </w:r>
      <w:r w:rsidRPr="00881AC7">
        <w:rPr>
          <w:rFonts w:ascii="Times New Roman" w:hAnsi="Times New Roman" w:cs="Times New Roman"/>
          <w:sz w:val="24"/>
          <w:szCs w:val="24"/>
        </w:rPr>
        <w:t xml:space="preserve"> qui s’est accompagnée par l’étirement de la croûte continentale, située entre l’Afrique et l’Europe aboutissant à l’initiation de la marge nord- africaine ainsi que la mise en place d’un important cortège de roches volcaniques (roches vertes du Trias</w:t>
      </w:r>
      <w:r w:rsidR="00D3177B" w:rsidRPr="00881AC7">
        <w:rPr>
          <w:rFonts w:ascii="Times New Roman" w:hAnsi="Times New Roman" w:cs="Times New Roman"/>
          <w:sz w:val="24"/>
          <w:szCs w:val="24"/>
        </w:rPr>
        <w:t> </w:t>
      </w:r>
      <w:r w:rsidRPr="00881AC7">
        <w:rPr>
          <w:rFonts w:ascii="Times New Roman" w:hAnsi="Times New Roman" w:cs="Times New Roman"/>
          <w:sz w:val="24"/>
          <w:szCs w:val="24"/>
        </w:rPr>
        <w:t>)</w:t>
      </w:r>
      <w:r w:rsidR="00040D62" w:rsidRPr="00881AC7">
        <w:rPr>
          <w:rFonts w:ascii="Times New Roman" w:hAnsi="Times New Roman" w:cs="Times New Roman"/>
          <w:sz w:val="24"/>
          <w:szCs w:val="24"/>
        </w:rPr>
        <w:t>, le continent Gondwana subi une première phase d’</w:t>
      </w:r>
      <w:r w:rsidR="00B4576B" w:rsidRPr="00881AC7">
        <w:rPr>
          <w:rFonts w:ascii="Times New Roman" w:hAnsi="Times New Roman" w:cs="Times New Roman"/>
          <w:sz w:val="24"/>
          <w:szCs w:val="24"/>
        </w:rPr>
        <w:t>extension</w:t>
      </w:r>
      <w:r w:rsidR="00040D62" w:rsidRPr="00881AC7">
        <w:rPr>
          <w:rFonts w:ascii="Times New Roman" w:hAnsi="Times New Roman" w:cs="Times New Roman"/>
          <w:sz w:val="24"/>
          <w:szCs w:val="24"/>
        </w:rPr>
        <w:t xml:space="preserve"> durant le</w:t>
      </w:r>
      <w:r w:rsidR="00B4576B" w:rsidRPr="00881AC7">
        <w:rPr>
          <w:rFonts w:ascii="Times New Roman" w:hAnsi="Times New Roman" w:cs="Times New Roman"/>
          <w:sz w:val="24"/>
          <w:szCs w:val="24"/>
        </w:rPr>
        <w:t xml:space="preserve"> Trias. C’est un événement qui est reconnue sur la marge sud téthysienne, particulièrement dans le domaine atlasique</w:t>
      </w:r>
      <w:r w:rsidRPr="00881AC7">
        <w:rPr>
          <w:rFonts w:ascii="Times New Roman" w:hAnsi="Times New Roman" w:cs="Times New Roman"/>
          <w:sz w:val="24"/>
          <w:szCs w:val="24"/>
        </w:rPr>
        <w:t>.</w:t>
      </w:r>
      <w:r w:rsidR="00B4576B" w:rsidRPr="00881AC7">
        <w:rPr>
          <w:rFonts w:ascii="Times New Roman" w:hAnsi="Times New Roman" w:cs="Times New Roman"/>
          <w:sz w:val="24"/>
          <w:szCs w:val="24"/>
        </w:rPr>
        <w:t xml:space="preserve"> Cet événement se caractérisé par des struc</w:t>
      </w:r>
      <w:r w:rsidR="00DD2255" w:rsidRPr="00881AC7">
        <w:rPr>
          <w:rFonts w:ascii="Times New Roman" w:hAnsi="Times New Roman" w:cs="Times New Roman"/>
          <w:sz w:val="24"/>
          <w:szCs w:val="24"/>
        </w:rPr>
        <w:t>t</w:t>
      </w:r>
      <w:r w:rsidR="00B4576B" w:rsidRPr="00881AC7">
        <w:rPr>
          <w:rFonts w:ascii="Times New Roman" w:hAnsi="Times New Roman" w:cs="Times New Roman"/>
          <w:sz w:val="24"/>
          <w:szCs w:val="24"/>
        </w:rPr>
        <w:t>ure</w:t>
      </w:r>
      <w:r w:rsidR="00DD2255" w:rsidRPr="00881AC7">
        <w:rPr>
          <w:rFonts w:ascii="Times New Roman" w:hAnsi="Times New Roman" w:cs="Times New Roman"/>
          <w:sz w:val="24"/>
          <w:szCs w:val="24"/>
        </w:rPr>
        <w:t>s</w:t>
      </w:r>
      <w:r w:rsidR="00B4576B" w:rsidRPr="00881AC7">
        <w:rPr>
          <w:rFonts w:ascii="Times New Roman" w:hAnsi="Times New Roman" w:cs="Times New Roman"/>
          <w:sz w:val="24"/>
          <w:szCs w:val="24"/>
        </w:rPr>
        <w:t xml:space="preserve"> en bloc</w:t>
      </w:r>
      <w:r w:rsidR="00DD2255" w:rsidRPr="00881AC7">
        <w:rPr>
          <w:rFonts w:ascii="Times New Roman" w:hAnsi="Times New Roman" w:cs="Times New Roman"/>
          <w:sz w:val="24"/>
          <w:szCs w:val="24"/>
        </w:rPr>
        <w:t>s</w:t>
      </w:r>
      <w:r w:rsidR="00B4576B" w:rsidRPr="00881AC7">
        <w:rPr>
          <w:rFonts w:ascii="Times New Roman" w:hAnsi="Times New Roman" w:cs="Times New Roman"/>
          <w:sz w:val="24"/>
          <w:szCs w:val="24"/>
        </w:rPr>
        <w:t xml:space="preserve"> basculés</w:t>
      </w:r>
      <w:r w:rsidR="00DD2255" w:rsidRPr="00881AC7">
        <w:rPr>
          <w:rFonts w:ascii="Times New Roman" w:hAnsi="Times New Roman" w:cs="Times New Roman"/>
          <w:sz w:val="24"/>
          <w:szCs w:val="24"/>
        </w:rPr>
        <w:t xml:space="preserve"> et une sédimentation détritique</w:t>
      </w:r>
      <w:r w:rsidR="001C6F6C" w:rsidRPr="00881AC7">
        <w:rPr>
          <w:rFonts w:ascii="Times New Roman" w:hAnsi="Times New Roman" w:cs="Times New Roman"/>
          <w:sz w:val="24"/>
          <w:szCs w:val="24"/>
        </w:rPr>
        <w:t xml:space="preserve"> argilo-gréseux</w:t>
      </w:r>
      <w:r w:rsidR="00DD2255" w:rsidRPr="00881AC7">
        <w:rPr>
          <w:rFonts w:ascii="Times New Roman" w:hAnsi="Times New Roman" w:cs="Times New Roman"/>
          <w:sz w:val="24"/>
          <w:szCs w:val="24"/>
        </w:rPr>
        <w:t xml:space="preserve"> dans le domaine atlasique.</w:t>
      </w:r>
      <w:r w:rsidR="00E260FF" w:rsidRPr="00881AC7">
        <w:rPr>
          <w:rFonts w:ascii="Times New Roman" w:hAnsi="Times New Roman" w:cs="Times New Roman"/>
          <w:sz w:val="24"/>
          <w:szCs w:val="24"/>
        </w:rPr>
        <w:t xml:space="preserve"> Cette géométrie, parfois diffuse, e</w:t>
      </w:r>
      <w:r w:rsidR="00850FE6" w:rsidRPr="00881AC7">
        <w:rPr>
          <w:rFonts w:ascii="Times New Roman" w:hAnsi="Times New Roman" w:cs="Times New Roman"/>
          <w:sz w:val="24"/>
          <w:szCs w:val="24"/>
        </w:rPr>
        <w:t>st scellée par les évaporites « </w:t>
      </w:r>
      <w:r w:rsidR="00E260FF" w:rsidRPr="00881AC7">
        <w:rPr>
          <w:rFonts w:ascii="Times New Roman" w:hAnsi="Times New Roman" w:cs="Times New Roman"/>
          <w:sz w:val="24"/>
          <w:szCs w:val="24"/>
        </w:rPr>
        <w:t xml:space="preserve"> trias supérieur- lias inférieur</w:t>
      </w:r>
      <w:r w:rsidR="00850FE6" w:rsidRPr="00881AC7">
        <w:rPr>
          <w:rFonts w:ascii="Times New Roman" w:hAnsi="Times New Roman" w:cs="Times New Roman"/>
          <w:sz w:val="24"/>
          <w:szCs w:val="24"/>
        </w:rPr>
        <w:t> »</w:t>
      </w:r>
      <w:r w:rsidR="00E260FF" w:rsidRPr="00881AC7">
        <w:rPr>
          <w:rFonts w:ascii="Times New Roman" w:hAnsi="Times New Roman" w:cs="Times New Roman"/>
          <w:sz w:val="24"/>
          <w:szCs w:val="24"/>
        </w:rPr>
        <w:t xml:space="preserve">.  </w:t>
      </w:r>
    </w:p>
    <w:p w:rsidR="00300111" w:rsidRPr="00881AC7" w:rsidRDefault="001B693A" w:rsidP="00C75518">
      <w:pPr>
        <w:autoSpaceDE w:val="0"/>
        <w:autoSpaceDN w:val="0"/>
        <w:adjustRightInd w:val="0"/>
        <w:spacing w:before="120" w:after="0"/>
        <w:ind w:firstLine="708"/>
        <w:jc w:val="both"/>
        <w:rPr>
          <w:rFonts w:ascii="Times New Roman" w:hAnsi="Times New Roman" w:cs="Times New Roman"/>
          <w:sz w:val="24"/>
          <w:szCs w:val="24"/>
        </w:rPr>
      </w:pPr>
      <w:r w:rsidRPr="00A41AF0">
        <w:rPr>
          <w:rFonts w:ascii="Times New Roman" w:hAnsi="Times New Roman" w:cs="Times New Roman"/>
          <w:sz w:val="24"/>
          <w:szCs w:val="24"/>
          <w:u w:val="single"/>
        </w:rPr>
        <w:t xml:space="preserve"> Une seconde phased’extension succède durant </w:t>
      </w:r>
      <w:r w:rsidR="00300111" w:rsidRPr="00A41AF0">
        <w:rPr>
          <w:rFonts w:ascii="Times New Roman" w:hAnsi="Times New Roman" w:cs="Times New Roman"/>
          <w:sz w:val="24"/>
          <w:szCs w:val="24"/>
          <w:u w:val="single"/>
        </w:rPr>
        <w:t xml:space="preserve">le </w:t>
      </w:r>
      <w:r w:rsidR="00040D62" w:rsidRPr="00A41AF0">
        <w:rPr>
          <w:rFonts w:ascii="Times New Roman" w:hAnsi="Times New Roman" w:cs="Times New Roman"/>
          <w:sz w:val="24"/>
          <w:szCs w:val="24"/>
          <w:u w:val="single"/>
        </w:rPr>
        <w:t>Lias</w:t>
      </w:r>
      <w:r w:rsidR="00300111" w:rsidRPr="00881AC7">
        <w:rPr>
          <w:rFonts w:ascii="Times New Roman" w:hAnsi="Times New Roman" w:cs="Times New Roman"/>
          <w:sz w:val="24"/>
          <w:szCs w:val="24"/>
        </w:rPr>
        <w:t xml:space="preserve">, la tectonique extensive et caractérisée par des </w:t>
      </w:r>
      <w:r w:rsidR="00850FE6" w:rsidRPr="00881AC7">
        <w:rPr>
          <w:rFonts w:ascii="Times New Roman" w:hAnsi="Times New Roman" w:cs="Times New Roman"/>
          <w:sz w:val="24"/>
          <w:szCs w:val="24"/>
        </w:rPr>
        <w:t>accidents de directionN</w:t>
      </w:r>
      <w:r w:rsidR="00300111" w:rsidRPr="00881AC7">
        <w:rPr>
          <w:rFonts w:ascii="Times New Roman" w:hAnsi="Times New Roman" w:cs="Times New Roman"/>
          <w:sz w:val="24"/>
          <w:szCs w:val="24"/>
        </w:rPr>
        <w:t>E-</w:t>
      </w:r>
      <w:r w:rsidR="00850FE6" w:rsidRPr="00881AC7">
        <w:rPr>
          <w:rFonts w:ascii="Times New Roman" w:hAnsi="Times New Roman" w:cs="Times New Roman"/>
          <w:sz w:val="24"/>
          <w:szCs w:val="24"/>
        </w:rPr>
        <w:t>S</w:t>
      </w:r>
      <w:r w:rsidR="00300111" w:rsidRPr="00881AC7">
        <w:rPr>
          <w:rFonts w:ascii="Times New Roman" w:hAnsi="Times New Roman" w:cs="Times New Roman"/>
          <w:sz w:val="24"/>
          <w:szCs w:val="24"/>
        </w:rPr>
        <w:t>W</w:t>
      </w:r>
      <w:r w:rsidR="00850FE6" w:rsidRPr="00881AC7">
        <w:rPr>
          <w:rFonts w:ascii="Times New Roman" w:hAnsi="Times New Roman" w:cs="Times New Roman"/>
          <w:sz w:val="24"/>
          <w:szCs w:val="24"/>
        </w:rPr>
        <w:t>. Ces accidents déterminent des blocs basculés de dimension plurikilométriques,</w:t>
      </w:r>
      <w:r w:rsidR="00300111" w:rsidRPr="00881AC7">
        <w:rPr>
          <w:rFonts w:ascii="Times New Roman" w:hAnsi="Times New Roman" w:cs="Times New Roman"/>
          <w:sz w:val="24"/>
          <w:szCs w:val="24"/>
        </w:rPr>
        <w:t>le développement des structuresen horsts et grabens associés à des bassins subsidents</w:t>
      </w:r>
      <w:r w:rsidRPr="00881AC7">
        <w:rPr>
          <w:rFonts w:ascii="Times New Roman" w:hAnsi="Times New Roman" w:cs="Times New Roman"/>
          <w:sz w:val="24"/>
          <w:szCs w:val="24"/>
        </w:rPr>
        <w:t>. Durant le Lias, les dépôts sont essentiellement carbonatés et montrent des variations defaci</w:t>
      </w:r>
      <w:r w:rsidR="00233169" w:rsidRPr="00881AC7">
        <w:rPr>
          <w:rFonts w:ascii="Times New Roman" w:hAnsi="Times New Roman" w:cs="Times New Roman"/>
          <w:sz w:val="24"/>
          <w:szCs w:val="24"/>
        </w:rPr>
        <w:t>ès et d’épaisseurs.</w:t>
      </w:r>
      <w:r w:rsidR="001E78D4" w:rsidRPr="00881AC7">
        <w:rPr>
          <w:rFonts w:ascii="Times New Roman" w:hAnsi="Times New Roman" w:cs="Times New Roman"/>
          <w:sz w:val="24"/>
          <w:szCs w:val="24"/>
        </w:rPr>
        <w:t xml:space="preserve"> Cette phase de rifting est accompagnée par les premiers  mouvements du matériel évaporitique pour former des dômes</w:t>
      </w:r>
      <w:r w:rsidR="00D3177B" w:rsidRPr="00881AC7">
        <w:rPr>
          <w:rFonts w:ascii="Times New Roman" w:hAnsi="Times New Roman" w:cs="Times New Roman"/>
          <w:sz w:val="24"/>
          <w:szCs w:val="24"/>
        </w:rPr>
        <w:t xml:space="preserve">dont certains évaluerons par la suite en diapirs. </w:t>
      </w:r>
    </w:p>
    <w:p w:rsidR="00FA2084" w:rsidRDefault="00D3177B" w:rsidP="002E4432">
      <w:pPr>
        <w:autoSpaceDE w:val="0"/>
        <w:autoSpaceDN w:val="0"/>
        <w:adjustRightInd w:val="0"/>
        <w:spacing w:before="120" w:after="120"/>
        <w:jc w:val="both"/>
        <w:rPr>
          <w:rFonts w:ascii="Times New Roman" w:hAnsi="Times New Roman" w:cs="Times New Roman"/>
          <w:b/>
          <w:sz w:val="24"/>
          <w:szCs w:val="24"/>
        </w:rPr>
      </w:pPr>
      <w:r w:rsidRPr="00881AC7">
        <w:rPr>
          <w:rFonts w:ascii="Times New Roman" w:hAnsi="Times New Roman" w:cs="Times New Roman"/>
          <w:b/>
          <w:sz w:val="24"/>
          <w:szCs w:val="24"/>
        </w:rPr>
        <w:t xml:space="preserve">La période de </w:t>
      </w:r>
      <w:r w:rsidRPr="00C75518">
        <w:rPr>
          <w:rFonts w:ascii="Times New Roman" w:hAnsi="Times New Roman" w:cs="Times New Roman"/>
          <w:b/>
          <w:color w:val="FF0000"/>
          <w:sz w:val="24"/>
          <w:szCs w:val="24"/>
        </w:rPr>
        <w:t>post-rifting</w:t>
      </w:r>
      <w:r w:rsidRPr="00881AC7">
        <w:rPr>
          <w:rFonts w:ascii="Times New Roman" w:hAnsi="Times New Roman" w:cs="Times New Roman"/>
          <w:b/>
          <w:sz w:val="24"/>
          <w:szCs w:val="24"/>
        </w:rPr>
        <w:t> </w:t>
      </w:r>
      <w:r w:rsidR="000B7876" w:rsidRPr="00881AC7">
        <w:rPr>
          <w:rFonts w:ascii="Times New Roman" w:hAnsi="Times New Roman" w:cs="Times New Roman"/>
          <w:b/>
          <w:sz w:val="24"/>
          <w:szCs w:val="24"/>
        </w:rPr>
        <w:t>: Jurassique</w:t>
      </w:r>
      <w:r w:rsidRPr="00881AC7">
        <w:rPr>
          <w:rFonts w:ascii="Times New Roman" w:hAnsi="Times New Roman" w:cs="Times New Roman"/>
          <w:b/>
          <w:sz w:val="24"/>
          <w:szCs w:val="24"/>
        </w:rPr>
        <w:t xml:space="preserve"> moyen-Crétacé supérieur</w:t>
      </w:r>
    </w:p>
    <w:p w:rsidR="00F15AC7" w:rsidRDefault="00045989" w:rsidP="00B10612">
      <w:pPr>
        <w:autoSpaceDE w:val="0"/>
        <w:autoSpaceDN w:val="0"/>
        <w:adjustRightInd w:val="0"/>
        <w:spacing w:before="120" w:after="120"/>
        <w:ind w:firstLine="708"/>
        <w:jc w:val="both"/>
        <w:rPr>
          <w:rFonts w:ascii="Times New Roman" w:hAnsi="Times New Roman" w:cs="Times New Roman"/>
          <w:sz w:val="24"/>
          <w:szCs w:val="24"/>
        </w:rPr>
      </w:pPr>
      <w:r w:rsidRPr="00045989">
        <w:rPr>
          <w:rFonts w:ascii="Times New Roman" w:hAnsi="Times New Roman" w:cs="Times New Roman"/>
          <w:sz w:val="24"/>
          <w:szCs w:val="24"/>
        </w:rPr>
        <w:t xml:space="preserve">Durant </w:t>
      </w:r>
      <w:r>
        <w:rPr>
          <w:rFonts w:ascii="Times New Roman" w:hAnsi="Times New Roman" w:cs="Times New Roman"/>
          <w:sz w:val="24"/>
          <w:szCs w:val="24"/>
        </w:rPr>
        <w:t>cette période, dans les monts du Hodna et des Aurès et le nord tell, des failles normales  demeurent encore active</w:t>
      </w:r>
      <w:r w:rsidR="00BD4804">
        <w:rPr>
          <w:rFonts w:ascii="Times New Roman" w:hAnsi="Times New Roman" w:cs="Times New Roman"/>
          <w:sz w:val="24"/>
          <w:szCs w:val="24"/>
        </w:rPr>
        <w:t>. Au</w:t>
      </w:r>
      <w:r>
        <w:rPr>
          <w:rFonts w:ascii="Times New Roman" w:hAnsi="Times New Roman" w:cs="Times New Roman"/>
          <w:sz w:val="24"/>
          <w:szCs w:val="24"/>
        </w:rPr>
        <w:t xml:space="preserve"> cour</w:t>
      </w:r>
      <w:r w:rsidR="00BD4804">
        <w:rPr>
          <w:rFonts w:ascii="Times New Roman" w:hAnsi="Times New Roman" w:cs="Times New Roman"/>
          <w:sz w:val="24"/>
          <w:szCs w:val="24"/>
        </w:rPr>
        <w:t>s</w:t>
      </w:r>
      <w:r>
        <w:rPr>
          <w:rFonts w:ascii="Times New Roman" w:hAnsi="Times New Roman" w:cs="Times New Roman"/>
          <w:sz w:val="24"/>
          <w:szCs w:val="24"/>
        </w:rPr>
        <w:t xml:space="preserve"> du Crétacé</w:t>
      </w:r>
      <w:r w:rsidR="00BD4804">
        <w:rPr>
          <w:rFonts w:ascii="Times New Roman" w:hAnsi="Times New Roman" w:cs="Times New Roman"/>
          <w:sz w:val="24"/>
          <w:szCs w:val="24"/>
        </w:rPr>
        <w:t>, les failles normale d’orientation SW-NE sont observables dans le Hodna et les Aurès.Sur le plant sédimentaire, l’Atlas Saharien occidental (Mont des Ksour), l’Atla</w:t>
      </w:r>
      <w:r w:rsidR="00F15AC7">
        <w:rPr>
          <w:rFonts w:ascii="Times New Roman" w:hAnsi="Times New Roman" w:cs="Times New Roman"/>
          <w:sz w:val="24"/>
          <w:szCs w:val="24"/>
        </w:rPr>
        <w:t>s central, le sillon de Telagh subissent un épandage gréseux durant le Jurassique moyen se poursuivant au Jurassique supérieur dans l’Atlas Saharien occidental.</w:t>
      </w:r>
    </w:p>
    <w:p w:rsidR="006C6A37" w:rsidRDefault="00F15AC7" w:rsidP="00BD4804">
      <w:pPr>
        <w:autoSpaceDE w:val="0"/>
        <w:autoSpaceDN w:val="0"/>
        <w:adjustRightInd w:val="0"/>
        <w:spacing w:before="120" w:after="120"/>
        <w:ind w:firstLine="708"/>
        <w:jc w:val="both"/>
        <w:rPr>
          <w:rFonts w:ascii="Times New Roman" w:hAnsi="Times New Roman" w:cs="Times New Roman"/>
          <w:sz w:val="24"/>
          <w:szCs w:val="24"/>
        </w:rPr>
      </w:pPr>
      <w:r>
        <w:rPr>
          <w:rFonts w:ascii="Times New Roman" w:hAnsi="Times New Roman" w:cs="Times New Roman"/>
          <w:sz w:val="24"/>
          <w:szCs w:val="24"/>
        </w:rPr>
        <w:t>La généralisation des dépôts détritiques à l’ensemble de la marge sud téthysienne commence au crétacé inférieur  en atteignant le domaine des flyschs</w:t>
      </w:r>
      <w:r w:rsidR="0060026A">
        <w:rPr>
          <w:rFonts w:ascii="Times New Roman" w:hAnsi="Times New Roman" w:cs="Times New Roman"/>
          <w:sz w:val="24"/>
          <w:szCs w:val="24"/>
        </w:rPr>
        <w:t xml:space="preserve">. Cet épandage est cependant interrompu  par l’intermède carbonaté Aptien et reprend de nouveau durant l’Albien. Les dépôts détritiques se font rares et disparaissent à partir de l’Albien supérieur  dans </w:t>
      </w:r>
      <w:r w:rsidR="00FE05AF">
        <w:rPr>
          <w:rFonts w:ascii="Times New Roman" w:hAnsi="Times New Roman" w:cs="Times New Roman"/>
          <w:sz w:val="24"/>
          <w:szCs w:val="24"/>
        </w:rPr>
        <w:t>l</w:t>
      </w:r>
      <w:r w:rsidR="00052EAF">
        <w:rPr>
          <w:rFonts w:ascii="Times New Roman" w:hAnsi="Times New Roman" w:cs="Times New Roman"/>
          <w:sz w:val="24"/>
          <w:szCs w:val="24"/>
        </w:rPr>
        <w:t xml:space="preserve">es </w:t>
      </w:r>
      <w:r w:rsidR="00FE05AF">
        <w:rPr>
          <w:rFonts w:ascii="Times New Roman" w:hAnsi="Times New Roman" w:cs="Times New Roman"/>
          <w:sz w:val="24"/>
          <w:szCs w:val="24"/>
        </w:rPr>
        <w:t>zone</w:t>
      </w:r>
      <w:r w:rsidR="00052EAF">
        <w:rPr>
          <w:rFonts w:ascii="Times New Roman" w:hAnsi="Times New Roman" w:cs="Times New Roman"/>
          <w:sz w:val="24"/>
          <w:szCs w:val="24"/>
        </w:rPr>
        <w:t>s</w:t>
      </w:r>
      <w:r w:rsidR="0060026A">
        <w:rPr>
          <w:rFonts w:ascii="Times New Roman" w:hAnsi="Times New Roman" w:cs="Times New Roman"/>
          <w:sz w:val="24"/>
          <w:szCs w:val="24"/>
        </w:rPr>
        <w:t xml:space="preserve"> atlasique</w:t>
      </w:r>
      <w:r w:rsidR="00052EAF">
        <w:rPr>
          <w:rFonts w:ascii="Times New Roman" w:hAnsi="Times New Roman" w:cs="Times New Roman"/>
          <w:sz w:val="24"/>
          <w:szCs w:val="24"/>
        </w:rPr>
        <w:t>s p</w:t>
      </w:r>
      <w:r w:rsidR="00A32711">
        <w:rPr>
          <w:rFonts w:ascii="Times New Roman" w:hAnsi="Times New Roman" w:cs="Times New Roman"/>
          <w:sz w:val="24"/>
          <w:szCs w:val="24"/>
        </w:rPr>
        <w:t>o</w:t>
      </w:r>
      <w:r w:rsidR="00052EAF">
        <w:rPr>
          <w:rFonts w:ascii="Times New Roman" w:hAnsi="Times New Roman" w:cs="Times New Roman"/>
          <w:sz w:val="24"/>
          <w:szCs w:val="24"/>
        </w:rPr>
        <w:t>ur être relayés par des dépôts carbonatés jusqu’au l’Oligocène. Durant l’</w:t>
      </w:r>
      <w:r w:rsidR="0022213E">
        <w:rPr>
          <w:rFonts w:ascii="Times New Roman" w:hAnsi="Times New Roman" w:cs="Times New Roman"/>
          <w:sz w:val="24"/>
          <w:szCs w:val="24"/>
        </w:rPr>
        <w:t>Albien supérieur et</w:t>
      </w:r>
      <w:r w:rsidR="00052EAF">
        <w:rPr>
          <w:rFonts w:ascii="Times New Roman" w:hAnsi="Times New Roman" w:cs="Times New Roman"/>
          <w:sz w:val="24"/>
          <w:szCs w:val="24"/>
        </w:rPr>
        <w:t xml:space="preserve"> le Turonien</w:t>
      </w:r>
      <w:r w:rsidR="009D2C4A">
        <w:rPr>
          <w:rFonts w:ascii="Times New Roman" w:hAnsi="Times New Roman" w:cs="Times New Roman"/>
          <w:sz w:val="24"/>
          <w:szCs w:val="24"/>
        </w:rPr>
        <w:t xml:space="preserve"> se déposent des faciès dans un environnement anoxique. Ils constituent les principales roches-mères les mieux définies sur le plan géochimique et sont génératrices les hydrocarbures découverts dans le nord de l’Algérie.  </w:t>
      </w:r>
    </w:p>
    <w:p w:rsidR="006C6A37" w:rsidRDefault="006C6A37" w:rsidP="006C6A37">
      <w:pPr>
        <w:autoSpaceDE w:val="0"/>
        <w:autoSpaceDN w:val="0"/>
        <w:adjustRightInd w:val="0"/>
        <w:spacing w:before="120" w:after="120"/>
        <w:jc w:val="both"/>
        <w:rPr>
          <w:rFonts w:ascii="Times New Roman" w:hAnsi="Times New Roman" w:cs="Times New Roman"/>
          <w:b/>
          <w:sz w:val="24"/>
          <w:szCs w:val="24"/>
        </w:rPr>
      </w:pPr>
      <w:r w:rsidRPr="006C6A37">
        <w:rPr>
          <w:rFonts w:ascii="Times New Roman" w:hAnsi="Times New Roman" w:cs="Times New Roman"/>
          <w:b/>
          <w:sz w:val="24"/>
          <w:szCs w:val="24"/>
        </w:rPr>
        <w:t xml:space="preserve">La </w:t>
      </w:r>
      <w:r>
        <w:rPr>
          <w:rFonts w:ascii="Times New Roman" w:hAnsi="Times New Roman" w:cs="Times New Roman"/>
          <w:b/>
          <w:sz w:val="24"/>
          <w:szCs w:val="24"/>
        </w:rPr>
        <w:t>période d</w:t>
      </w:r>
      <w:r w:rsidRPr="00C75518">
        <w:rPr>
          <w:rFonts w:ascii="Times New Roman" w:hAnsi="Times New Roman" w:cs="Times New Roman"/>
          <w:b/>
          <w:color w:val="FF0000"/>
          <w:sz w:val="24"/>
          <w:szCs w:val="24"/>
        </w:rPr>
        <w:t>’inversion</w:t>
      </w:r>
      <w:r>
        <w:rPr>
          <w:rFonts w:ascii="Times New Roman" w:hAnsi="Times New Roman" w:cs="Times New Roman"/>
          <w:b/>
          <w:sz w:val="24"/>
          <w:szCs w:val="24"/>
        </w:rPr>
        <w:t> : Tertiaire-Actuel</w:t>
      </w:r>
    </w:p>
    <w:p w:rsidR="009E09F0" w:rsidRDefault="006C6A37" w:rsidP="006C6A37">
      <w:pPr>
        <w:autoSpaceDE w:val="0"/>
        <w:autoSpaceDN w:val="0"/>
        <w:adjustRightInd w:val="0"/>
        <w:spacing w:before="120" w:after="120"/>
        <w:ind w:firstLine="708"/>
        <w:jc w:val="both"/>
        <w:rPr>
          <w:rFonts w:ascii="Times New Roman" w:hAnsi="Times New Roman" w:cs="Times New Roman"/>
          <w:sz w:val="24"/>
          <w:szCs w:val="24"/>
        </w:rPr>
      </w:pPr>
      <w:r w:rsidRPr="006C6A37">
        <w:rPr>
          <w:rFonts w:ascii="Times New Roman" w:hAnsi="Times New Roman" w:cs="Times New Roman"/>
          <w:sz w:val="24"/>
          <w:szCs w:val="24"/>
        </w:rPr>
        <w:t>Elle correspond globalement</w:t>
      </w:r>
      <w:r>
        <w:rPr>
          <w:rFonts w:ascii="Times New Roman" w:hAnsi="Times New Roman" w:cs="Times New Roman"/>
          <w:sz w:val="24"/>
          <w:szCs w:val="24"/>
        </w:rPr>
        <w:t xml:space="preserve"> à un régime de convergence des plaques Europe et Afrique. Des phases de déformations compressives structurent la marge sud téthysienne de manière saccadée avec deux épisodes principaux dans le domaine atlasique</w:t>
      </w:r>
      <w:r w:rsidR="009E09F0">
        <w:rPr>
          <w:rFonts w:ascii="Times New Roman" w:hAnsi="Times New Roman" w:cs="Times New Roman"/>
          <w:sz w:val="24"/>
          <w:szCs w:val="24"/>
        </w:rPr>
        <w:t>. L’un à la fin de l’Eocène et l’autre à la fin du Pliocène.</w:t>
      </w:r>
    </w:p>
    <w:p w:rsidR="00A41AF0" w:rsidRDefault="00A41AF0" w:rsidP="00100E8A">
      <w:pPr>
        <w:autoSpaceDE w:val="0"/>
        <w:autoSpaceDN w:val="0"/>
        <w:adjustRightInd w:val="0"/>
        <w:spacing w:after="0" w:line="240" w:lineRule="auto"/>
        <w:ind w:firstLine="708"/>
        <w:jc w:val="both"/>
        <w:rPr>
          <w:rFonts w:ascii="Times New Roman" w:hAnsi="Times New Roman" w:cs="Times New Roman"/>
          <w:b/>
          <w:bCs/>
          <w:i/>
          <w:sz w:val="24"/>
          <w:szCs w:val="24"/>
        </w:rPr>
      </w:pPr>
    </w:p>
    <w:p w:rsidR="00A41AF0" w:rsidRDefault="00A41AF0" w:rsidP="00100E8A">
      <w:pPr>
        <w:autoSpaceDE w:val="0"/>
        <w:autoSpaceDN w:val="0"/>
        <w:adjustRightInd w:val="0"/>
        <w:spacing w:after="0" w:line="240" w:lineRule="auto"/>
        <w:ind w:firstLine="708"/>
        <w:jc w:val="both"/>
        <w:rPr>
          <w:rFonts w:ascii="Times New Roman" w:hAnsi="Times New Roman" w:cs="Times New Roman"/>
          <w:b/>
          <w:bCs/>
          <w:i/>
          <w:sz w:val="24"/>
          <w:szCs w:val="24"/>
        </w:rPr>
      </w:pPr>
    </w:p>
    <w:p w:rsidR="00A41AF0" w:rsidRDefault="00A41AF0" w:rsidP="00100E8A">
      <w:pPr>
        <w:autoSpaceDE w:val="0"/>
        <w:autoSpaceDN w:val="0"/>
        <w:adjustRightInd w:val="0"/>
        <w:spacing w:after="0" w:line="240" w:lineRule="auto"/>
        <w:ind w:firstLine="708"/>
        <w:jc w:val="both"/>
        <w:rPr>
          <w:rFonts w:ascii="Times New Roman" w:hAnsi="Times New Roman" w:cs="Times New Roman"/>
          <w:b/>
          <w:bCs/>
          <w:i/>
          <w:sz w:val="24"/>
          <w:szCs w:val="24"/>
        </w:rPr>
      </w:pPr>
    </w:p>
    <w:p w:rsidR="00A41AF0" w:rsidRDefault="00A41AF0" w:rsidP="00100E8A">
      <w:pPr>
        <w:autoSpaceDE w:val="0"/>
        <w:autoSpaceDN w:val="0"/>
        <w:adjustRightInd w:val="0"/>
        <w:spacing w:after="0" w:line="240" w:lineRule="auto"/>
        <w:ind w:firstLine="708"/>
        <w:jc w:val="both"/>
        <w:rPr>
          <w:rFonts w:ascii="Times New Roman" w:hAnsi="Times New Roman" w:cs="Times New Roman"/>
          <w:b/>
          <w:bCs/>
          <w:i/>
          <w:sz w:val="24"/>
          <w:szCs w:val="24"/>
        </w:rPr>
      </w:pPr>
    </w:p>
    <w:p w:rsidR="00FA2084" w:rsidRPr="00100E8A" w:rsidRDefault="00100E8A" w:rsidP="00100E8A">
      <w:pPr>
        <w:autoSpaceDE w:val="0"/>
        <w:autoSpaceDN w:val="0"/>
        <w:adjustRightInd w:val="0"/>
        <w:spacing w:after="0" w:line="240" w:lineRule="auto"/>
        <w:ind w:firstLine="708"/>
        <w:jc w:val="both"/>
        <w:rPr>
          <w:rFonts w:ascii="Times New Roman" w:hAnsi="Times New Roman" w:cs="Times New Roman"/>
          <w:b/>
          <w:bCs/>
          <w:sz w:val="24"/>
          <w:szCs w:val="24"/>
        </w:rPr>
      </w:pPr>
      <w:r w:rsidRPr="00100E8A">
        <w:rPr>
          <w:rFonts w:ascii="Times New Roman" w:hAnsi="Times New Roman" w:cs="Times New Roman"/>
          <w:b/>
          <w:bCs/>
          <w:i/>
          <w:sz w:val="24"/>
          <w:szCs w:val="24"/>
        </w:rPr>
        <w:t>La tectonique alpine</w:t>
      </w:r>
      <w:r>
        <w:rPr>
          <w:rFonts w:ascii="Times New Roman" w:hAnsi="Times New Roman" w:cs="Times New Roman"/>
          <w:b/>
          <w:bCs/>
          <w:sz w:val="24"/>
          <w:szCs w:val="24"/>
        </w:rPr>
        <w:t xml:space="preserve"> : </w:t>
      </w:r>
      <w:r>
        <w:rPr>
          <w:rFonts w:ascii="Times New Roman" w:hAnsi="Times New Roman" w:cs="Times New Roman"/>
          <w:sz w:val="24"/>
          <w:szCs w:val="24"/>
        </w:rPr>
        <w:t>Avec la fin de l’Aquitanien, commence une phase tectonique compressive (début de la compression alpine) se manifeste par la collision des deux plaques Afrique-Europe,</w:t>
      </w:r>
    </w:p>
    <w:p w:rsidR="00FA2084" w:rsidRPr="00881AC7" w:rsidRDefault="00FA2084" w:rsidP="00100E8A">
      <w:pPr>
        <w:autoSpaceDE w:val="0"/>
        <w:autoSpaceDN w:val="0"/>
        <w:adjustRightInd w:val="0"/>
        <w:spacing w:before="120" w:after="120"/>
        <w:jc w:val="both"/>
        <w:rPr>
          <w:rFonts w:ascii="Times New Roman" w:hAnsi="Times New Roman" w:cs="Times New Roman"/>
          <w:b/>
          <w:sz w:val="24"/>
          <w:szCs w:val="24"/>
        </w:rPr>
      </w:pPr>
    </w:p>
    <w:p w:rsidR="00FA2084" w:rsidRPr="00881AC7" w:rsidRDefault="00FA2084" w:rsidP="002E4432">
      <w:pPr>
        <w:autoSpaceDE w:val="0"/>
        <w:autoSpaceDN w:val="0"/>
        <w:adjustRightInd w:val="0"/>
        <w:spacing w:before="120" w:after="120"/>
        <w:jc w:val="both"/>
        <w:rPr>
          <w:rFonts w:ascii="Times New Roman" w:hAnsi="Times New Roman" w:cs="Times New Roman"/>
          <w:b/>
          <w:sz w:val="24"/>
          <w:szCs w:val="24"/>
        </w:rPr>
      </w:pPr>
    </w:p>
    <w:p w:rsidR="00FA2084" w:rsidRPr="00A41AF0" w:rsidRDefault="00A41AF0" w:rsidP="00A41AF0">
      <w:pPr>
        <w:autoSpaceDE w:val="0"/>
        <w:autoSpaceDN w:val="0"/>
        <w:adjustRightInd w:val="0"/>
        <w:spacing w:before="120" w:after="120"/>
        <w:ind w:firstLine="708"/>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94080" behindDoc="0" locked="0" layoutInCell="1" allowOverlap="1">
            <wp:simplePos x="0" y="0"/>
            <wp:positionH relativeFrom="margin">
              <wp:posOffset>-299720</wp:posOffset>
            </wp:positionH>
            <wp:positionV relativeFrom="margin">
              <wp:posOffset>2064385</wp:posOffset>
            </wp:positionV>
            <wp:extent cx="6405880" cy="5681345"/>
            <wp:effectExtent l="19050" t="0" r="0" b="0"/>
            <wp:wrapSquare wrapText="bothSides"/>
            <wp:docPr id="9" name="Image 15"/>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0">
                      <a:lum/>
                    </a:blip>
                    <a:srcRect/>
                    <a:stretch>
                      <a:fillRect/>
                    </a:stretch>
                  </pic:blipFill>
                  <pic:spPr bwMode="auto">
                    <a:xfrm>
                      <a:off x="0" y="0"/>
                      <a:ext cx="6405880" cy="5681345"/>
                    </a:xfrm>
                    <a:prstGeom prst="rect">
                      <a:avLst/>
                    </a:prstGeom>
                    <a:noFill/>
                    <a:ln w="9525">
                      <a:noFill/>
                      <a:miter lim="800000"/>
                      <a:headEnd/>
                      <a:tailEnd/>
                    </a:ln>
                    <a:effectLst/>
                  </pic:spPr>
                </pic:pic>
              </a:graphicData>
            </a:graphic>
          </wp:anchor>
        </w:drawing>
      </w:r>
      <w:r w:rsidR="0068209C" w:rsidRPr="0068209C">
        <w:rPr>
          <w:rFonts w:ascii="Times New Roman" w:hAnsi="Times New Roman" w:cs="Times New Roman"/>
          <w:sz w:val="24"/>
          <w:szCs w:val="24"/>
        </w:rPr>
        <w:t>L</w:t>
      </w:r>
      <w:r w:rsidR="0068209C">
        <w:rPr>
          <w:rFonts w:ascii="Times New Roman" w:hAnsi="Times New Roman" w:cs="Times New Roman"/>
          <w:sz w:val="24"/>
          <w:szCs w:val="24"/>
        </w:rPr>
        <w:t>a</w:t>
      </w:r>
      <w:r w:rsidR="0068209C" w:rsidRPr="0068209C">
        <w:rPr>
          <w:rFonts w:ascii="Times New Roman" w:hAnsi="Times New Roman" w:cs="Times New Roman"/>
          <w:sz w:val="24"/>
          <w:szCs w:val="24"/>
        </w:rPr>
        <w:t xml:space="preserve"> figue </w:t>
      </w:r>
      <w:r w:rsidR="0068209C">
        <w:rPr>
          <w:rFonts w:ascii="Times New Roman" w:hAnsi="Times New Roman" w:cs="Times New Roman"/>
          <w:sz w:val="24"/>
          <w:szCs w:val="24"/>
        </w:rPr>
        <w:t>ci-dessous (</w:t>
      </w:r>
      <w:r w:rsidR="00B00F29">
        <w:rPr>
          <w:rFonts w:ascii="Times New Roman" w:hAnsi="Times New Roman" w:cs="Times New Roman"/>
          <w:sz w:val="24"/>
          <w:szCs w:val="24"/>
        </w:rPr>
        <w:t>fig.1)</w:t>
      </w:r>
      <w:r w:rsidR="00EB19F0">
        <w:rPr>
          <w:rFonts w:ascii="Times New Roman" w:hAnsi="Times New Roman" w:cs="Times New Roman"/>
          <w:sz w:val="24"/>
          <w:szCs w:val="24"/>
        </w:rPr>
        <w:t xml:space="preserve"> les principaux éléments structuraux du nord de L’Algérie qui sont  au sud vers le nord : système atlasique, l’avant fosse sud- tellienne,  le domaine tellien externe, le domaine des flyschs et en fin le domaine Kabyle interne (socle Kabyle, dorsale Kabyle).   </w:t>
      </w:r>
    </w:p>
    <w:p w:rsidR="00FE05AF" w:rsidRDefault="00FE05AF" w:rsidP="002E4432">
      <w:pPr>
        <w:autoSpaceDE w:val="0"/>
        <w:autoSpaceDN w:val="0"/>
        <w:adjustRightInd w:val="0"/>
        <w:spacing w:before="120" w:after="120"/>
        <w:jc w:val="both"/>
        <w:rPr>
          <w:rFonts w:ascii="Times New Roman" w:hAnsi="Times New Roman" w:cs="Times New Roman"/>
          <w:b/>
          <w:sz w:val="24"/>
          <w:szCs w:val="24"/>
        </w:rPr>
      </w:pPr>
    </w:p>
    <w:p w:rsidR="00A41AF0" w:rsidRDefault="00A41AF0" w:rsidP="002E4432">
      <w:pPr>
        <w:autoSpaceDE w:val="0"/>
        <w:autoSpaceDN w:val="0"/>
        <w:adjustRightInd w:val="0"/>
        <w:spacing w:before="120" w:after="120"/>
        <w:jc w:val="both"/>
        <w:rPr>
          <w:rFonts w:ascii="Times New Roman" w:hAnsi="Times New Roman" w:cs="Times New Roman"/>
          <w:b/>
          <w:sz w:val="24"/>
          <w:szCs w:val="24"/>
        </w:rPr>
      </w:pPr>
    </w:p>
    <w:p w:rsidR="00A41AF0" w:rsidRDefault="00A41AF0" w:rsidP="002E4432">
      <w:pPr>
        <w:autoSpaceDE w:val="0"/>
        <w:autoSpaceDN w:val="0"/>
        <w:adjustRightInd w:val="0"/>
        <w:spacing w:before="120" w:after="120"/>
        <w:jc w:val="both"/>
        <w:rPr>
          <w:rFonts w:ascii="Times New Roman" w:hAnsi="Times New Roman" w:cs="Times New Roman"/>
          <w:b/>
          <w:sz w:val="24"/>
          <w:szCs w:val="24"/>
        </w:rPr>
      </w:pPr>
    </w:p>
    <w:p w:rsidR="00A41AF0" w:rsidRDefault="00A41AF0" w:rsidP="002E4432">
      <w:pPr>
        <w:autoSpaceDE w:val="0"/>
        <w:autoSpaceDN w:val="0"/>
        <w:adjustRightInd w:val="0"/>
        <w:spacing w:before="120" w:after="120"/>
        <w:jc w:val="both"/>
        <w:rPr>
          <w:rFonts w:ascii="Times New Roman" w:hAnsi="Times New Roman" w:cs="Times New Roman"/>
          <w:b/>
          <w:sz w:val="24"/>
          <w:szCs w:val="24"/>
        </w:rPr>
      </w:pPr>
    </w:p>
    <w:p w:rsidR="00A41AF0" w:rsidRDefault="00A41AF0" w:rsidP="002E4432">
      <w:pPr>
        <w:autoSpaceDE w:val="0"/>
        <w:autoSpaceDN w:val="0"/>
        <w:adjustRightInd w:val="0"/>
        <w:spacing w:before="120" w:after="120"/>
        <w:jc w:val="both"/>
        <w:rPr>
          <w:rFonts w:ascii="Times New Roman" w:hAnsi="Times New Roman" w:cs="Times New Roman"/>
          <w:b/>
          <w:sz w:val="24"/>
          <w:szCs w:val="24"/>
        </w:rPr>
      </w:pPr>
    </w:p>
    <w:p w:rsidR="002E4432" w:rsidRPr="007D635D" w:rsidRDefault="00487511" w:rsidP="002E4432">
      <w:pPr>
        <w:autoSpaceDE w:val="0"/>
        <w:autoSpaceDN w:val="0"/>
        <w:adjustRightInd w:val="0"/>
        <w:spacing w:before="120" w:after="120"/>
        <w:jc w:val="both"/>
        <w:rPr>
          <w:rFonts w:ascii="Times New Roman" w:hAnsi="Times New Roman" w:cs="Times New Roman"/>
          <w:b/>
          <w:sz w:val="28"/>
          <w:szCs w:val="28"/>
        </w:rPr>
      </w:pPr>
      <w:r w:rsidRPr="007D635D">
        <w:rPr>
          <w:rFonts w:ascii="Times New Roman" w:hAnsi="Times New Roman" w:cs="Times New Roman"/>
          <w:b/>
          <w:sz w:val="28"/>
          <w:szCs w:val="28"/>
        </w:rPr>
        <w:t>Le système atlasique</w:t>
      </w:r>
    </w:p>
    <w:p w:rsidR="00B00F29" w:rsidRDefault="00487511" w:rsidP="00B00F29">
      <w:pPr>
        <w:autoSpaceDE w:val="0"/>
        <w:autoSpaceDN w:val="0"/>
        <w:adjustRightInd w:val="0"/>
        <w:spacing w:before="120" w:after="120"/>
        <w:ind w:firstLine="708"/>
        <w:jc w:val="both"/>
        <w:rPr>
          <w:rFonts w:ascii="Times New Roman" w:hAnsi="Times New Roman" w:cs="Times New Roman"/>
          <w:sz w:val="24"/>
          <w:szCs w:val="24"/>
        </w:rPr>
      </w:pPr>
      <w:r w:rsidRPr="00881AC7">
        <w:rPr>
          <w:rFonts w:ascii="Times New Roman" w:hAnsi="Times New Roman" w:cs="Times New Roman"/>
          <w:sz w:val="24"/>
          <w:szCs w:val="24"/>
        </w:rPr>
        <w:t xml:space="preserve">Aux sens large du terme, le système atlasique comprend en Algérie les monts de Tlemcen, les Hauts plateaux, l’Atlas </w:t>
      </w:r>
      <w:r w:rsidR="000C2DCE" w:rsidRPr="00881AC7">
        <w:rPr>
          <w:rFonts w:ascii="Times New Roman" w:hAnsi="Times New Roman" w:cs="Times New Roman"/>
          <w:sz w:val="24"/>
          <w:szCs w:val="24"/>
        </w:rPr>
        <w:t>S</w:t>
      </w:r>
      <w:r w:rsidR="00256C63" w:rsidRPr="00881AC7">
        <w:rPr>
          <w:rFonts w:ascii="Times New Roman" w:hAnsi="Times New Roman" w:cs="Times New Roman"/>
          <w:sz w:val="24"/>
          <w:szCs w:val="24"/>
        </w:rPr>
        <w:t>aharien (</w:t>
      </w:r>
      <w:r w:rsidRPr="00881AC7">
        <w:rPr>
          <w:rFonts w:ascii="Times New Roman" w:hAnsi="Times New Roman" w:cs="Times New Roman"/>
          <w:sz w:val="24"/>
          <w:szCs w:val="24"/>
        </w:rPr>
        <w:t>Monts des Ksour</w:t>
      </w:r>
      <w:r w:rsidR="00E214DC" w:rsidRPr="00881AC7">
        <w:rPr>
          <w:rFonts w:ascii="Times New Roman" w:hAnsi="Times New Roman" w:cs="Times New Roman"/>
          <w:sz w:val="24"/>
          <w:szCs w:val="24"/>
        </w:rPr>
        <w:t>s</w:t>
      </w:r>
      <w:r w:rsidRPr="00881AC7">
        <w:rPr>
          <w:rFonts w:ascii="Times New Roman" w:hAnsi="Times New Roman" w:cs="Times New Roman"/>
          <w:sz w:val="24"/>
          <w:szCs w:val="24"/>
        </w:rPr>
        <w:t xml:space="preserve">, </w:t>
      </w:r>
      <w:r w:rsidR="00256C63" w:rsidRPr="00881AC7">
        <w:rPr>
          <w:rFonts w:ascii="Times New Roman" w:hAnsi="Times New Roman" w:cs="Times New Roman"/>
          <w:sz w:val="24"/>
          <w:szCs w:val="24"/>
        </w:rPr>
        <w:t xml:space="preserve">Djebel Amour, OuladNails, </w:t>
      </w:r>
      <w:r w:rsidR="00256C63" w:rsidRPr="00881AC7">
        <w:rPr>
          <w:rFonts w:ascii="Times New Roman" w:hAnsi="Times New Roman" w:cs="Times New Roman"/>
          <w:sz w:val="24"/>
          <w:szCs w:val="24"/>
        </w:rPr>
        <w:lastRenderedPageBreak/>
        <w:t>les Monts des Aurès-Nememchas) et les Monts du Hodna. Sa limite sud coïncide avec le font de déformation sud-atlasique. Elle constitue un élément majeur parcourant</w:t>
      </w:r>
      <w:r w:rsidR="00E62C5D" w:rsidRPr="00881AC7">
        <w:rPr>
          <w:rFonts w:ascii="Times New Roman" w:hAnsi="Times New Roman" w:cs="Times New Roman"/>
          <w:sz w:val="24"/>
          <w:szCs w:val="24"/>
        </w:rPr>
        <w:t xml:space="preserve"> le Maghreb depuis le Maroc jusqu’en Tunisie. Durant le Mésozoïque le système atlasique se caractérisé par des variations de faciès et d’épaisseurs.</w:t>
      </w:r>
    </w:p>
    <w:p w:rsidR="000C2DCE" w:rsidRPr="00881AC7" w:rsidRDefault="00E62C5D" w:rsidP="00B00F29">
      <w:pPr>
        <w:autoSpaceDE w:val="0"/>
        <w:autoSpaceDN w:val="0"/>
        <w:adjustRightInd w:val="0"/>
        <w:spacing w:before="120" w:after="120"/>
        <w:ind w:firstLine="708"/>
        <w:jc w:val="both"/>
        <w:rPr>
          <w:rFonts w:ascii="Times New Roman" w:hAnsi="Times New Roman" w:cs="Times New Roman"/>
          <w:sz w:val="24"/>
          <w:szCs w:val="24"/>
        </w:rPr>
      </w:pPr>
      <w:r w:rsidRPr="00881AC7">
        <w:rPr>
          <w:rFonts w:ascii="Times New Roman" w:hAnsi="Times New Roman" w:cs="Times New Roman"/>
          <w:sz w:val="24"/>
          <w:szCs w:val="24"/>
        </w:rPr>
        <w:t xml:space="preserve">L’individualisation du système atlasique date des phases de rifting triasique et liasique. Durant ces phases, le système atlasique se caractérisé par </w:t>
      </w:r>
      <w:r w:rsidR="000C2DCE" w:rsidRPr="00881AC7">
        <w:rPr>
          <w:rFonts w:ascii="Times New Roman" w:hAnsi="Times New Roman" w:cs="Times New Roman"/>
          <w:sz w:val="24"/>
          <w:szCs w:val="24"/>
        </w:rPr>
        <w:t>une géométrie en blocs basculés.</w:t>
      </w:r>
    </w:p>
    <w:p w:rsidR="005C7393" w:rsidRPr="00881AC7" w:rsidRDefault="00A41AF0" w:rsidP="00E62C5D">
      <w:pPr>
        <w:autoSpaceDE w:val="0"/>
        <w:autoSpaceDN w:val="0"/>
        <w:adjustRightInd w:val="0"/>
        <w:spacing w:before="120" w:after="120"/>
        <w:ind w:firstLine="708"/>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61312" behindDoc="0" locked="0" layoutInCell="1" allowOverlap="1">
            <wp:simplePos x="0" y="0"/>
            <wp:positionH relativeFrom="margin">
              <wp:posOffset>-324485</wp:posOffset>
            </wp:positionH>
            <wp:positionV relativeFrom="margin">
              <wp:posOffset>7740015</wp:posOffset>
            </wp:positionV>
            <wp:extent cx="6522720" cy="1236345"/>
            <wp:effectExtent l="19050" t="0" r="0" b="0"/>
            <wp:wrapSquare wrapText="bothSides"/>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lum/>
                    </a:blip>
                    <a:srcRect/>
                    <a:stretch>
                      <a:fillRect/>
                    </a:stretch>
                  </pic:blipFill>
                  <pic:spPr bwMode="auto">
                    <a:xfrm>
                      <a:off x="0" y="0"/>
                      <a:ext cx="6522720" cy="123634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fr-FR"/>
        </w:rPr>
        <w:drawing>
          <wp:anchor distT="0" distB="0" distL="114300" distR="114300" simplePos="0" relativeHeight="251660288" behindDoc="0" locked="0" layoutInCell="1" allowOverlap="1">
            <wp:simplePos x="0" y="0"/>
            <wp:positionH relativeFrom="margin">
              <wp:posOffset>-281305</wp:posOffset>
            </wp:positionH>
            <wp:positionV relativeFrom="margin">
              <wp:posOffset>4082415</wp:posOffset>
            </wp:positionV>
            <wp:extent cx="6475095" cy="3657600"/>
            <wp:effectExtent l="19050" t="0" r="190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lum/>
                    </a:blip>
                    <a:srcRect/>
                    <a:stretch>
                      <a:fillRect/>
                    </a:stretch>
                  </pic:blipFill>
                  <pic:spPr bwMode="auto">
                    <a:xfrm>
                      <a:off x="0" y="0"/>
                      <a:ext cx="6475095" cy="3657600"/>
                    </a:xfrm>
                    <a:prstGeom prst="rect">
                      <a:avLst/>
                    </a:prstGeom>
                    <a:noFill/>
                    <a:ln w="9525">
                      <a:noFill/>
                      <a:miter lim="800000"/>
                      <a:headEnd/>
                      <a:tailEnd/>
                    </a:ln>
                  </pic:spPr>
                </pic:pic>
              </a:graphicData>
            </a:graphic>
          </wp:anchor>
        </w:drawing>
      </w:r>
      <w:r w:rsidR="000C2DCE" w:rsidRPr="00881AC7">
        <w:rPr>
          <w:rFonts w:ascii="Times New Roman" w:hAnsi="Times New Roman" w:cs="Times New Roman"/>
          <w:sz w:val="24"/>
          <w:szCs w:val="24"/>
        </w:rPr>
        <w:t xml:space="preserve">Durant l’extension liasique apparaissent également les premiers mouvements des évaporites triasiques dans l’Atlas Saharien </w:t>
      </w:r>
      <w:r w:rsidR="00E214DC" w:rsidRPr="00881AC7">
        <w:rPr>
          <w:rFonts w:ascii="Times New Roman" w:hAnsi="Times New Roman" w:cs="Times New Roman"/>
          <w:sz w:val="24"/>
          <w:szCs w:val="24"/>
        </w:rPr>
        <w:t>(</w:t>
      </w:r>
      <w:r w:rsidR="005C7393" w:rsidRPr="00881AC7">
        <w:rPr>
          <w:rFonts w:ascii="Times New Roman" w:hAnsi="Times New Roman" w:cs="Times New Roman"/>
          <w:sz w:val="24"/>
          <w:szCs w:val="24"/>
        </w:rPr>
        <w:t>M</w:t>
      </w:r>
      <w:r w:rsidR="00E214DC" w:rsidRPr="00881AC7">
        <w:rPr>
          <w:rFonts w:ascii="Times New Roman" w:hAnsi="Times New Roman" w:cs="Times New Roman"/>
          <w:sz w:val="24"/>
          <w:szCs w:val="24"/>
        </w:rPr>
        <w:t>onts des Ksours, Ain Oussera</w:t>
      </w:r>
      <w:r w:rsidR="000A5E1A" w:rsidRPr="00881AC7">
        <w:rPr>
          <w:rFonts w:ascii="Times New Roman" w:hAnsi="Times New Roman" w:cs="Times New Roman"/>
          <w:sz w:val="24"/>
          <w:szCs w:val="24"/>
        </w:rPr>
        <w:t xml:space="preserve">, Djebel Amour, OuladNails, les Monts des Aurès, Talagh et les Monts du Hodna)  pour </w:t>
      </w:r>
      <w:r w:rsidR="00B9139F" w:rsidRPr="00881AC7">
        <w:rPr>
          <w:rFonts w:ascii="Times New Roman" w:hAnsi="Times New Roman" w:cs="Times New Roman"/>
          <w:sz w:val="24"/>
          <w:szCs w:val="24"/>
        </w:rPr>
        <w:t>former</w:t>
      </w:r>
      <w:r w:rsidR="000A5E1A" w:rsidRPr="00881AC7">
        <w:rPr>
          <w:rFonts w:ascii="Times New Roman" w:hAnsi="Times New Roman" w:cs="Times New Roman"/>
          <w:sz w:val="24"/>
          <w:szCs w:val="24"/>
        </w:rPr>
        <w:t xml:space="preserve"> des </w:t>
      </w:r>
      <w:r w:rsidR="00EA581D" w:rsidRPr="00881AC7">
        <w:rPr>
          <w:rFonts w:ascii="Times New Roman" w:hAnsi="Times New Roman" w:cs="Times New Roman"/>
          <w:sz w:val="24"/>
          <w:szCs w:val="24"/>
        </w:rPr>
        <w:t>dômes (</w:t>
      </w:r>
      <w:r w:rsidR="00045989" w:rsidRPr="00881AC7">
        <w:rPr>
          <w:rFonts w:ascii="Times New Roman" w:hAnsi="Times New Roman" w:cs="Times New Roman"/>
          <w:sz w:val="24"/>
          <w:szCs w:val="24"/>
        </w:rPr>
        <w:t>fig.</w:t>
      </w:r>
      <w:r w:rsidR="00045989">
        <w:rPr>
          <w:rFonts w:ascii="Times New Roman" w:hAnsi="Times New Roman" w:cs="Times New Roman"/>
          <w:sz w:val="24"/>
          <w:szCs w:val="24"/>
        </w:rPr>
        <w:t>3</w:t>
      </w:r>
      <w:r w:rsidR="00045989" w:rsidRPr="00881AC7">
        <w:rPr>
          <w:rFonts w:ascii="Times New Roman" w:hAnsi="Times New Roman" w:cs="Times New Roman"/>
          <w:sz w:val="24"/>
          <w:szCs w:val="24"/>
        </w:rPr>
        <w:t>:</w:t>
      </w:r>
      <w:r w:rsidR="000A5E1A" w:rsidRPr="00881AC7">
        <w:rPr>
          <w:rFonts w:ascii="Times New Roman" w:hAnsi="Times New Roman" w:cs="Times New Roman"/>
          <w:sz w:val="24"/>
          <w:szCs w:val="24"/>
        </w:rPr>
        <w:t>coupe A</w:t>
      </w:r>
      <w:r w:rsidR="00EA581D" w:rsidRPr="00881AC7">
        <w:rPr>
          <w:rFonts w:ascii="Times New Roman" w:hAnsi="Times New Roman" w:cs="Times New Roman"/>
          <w:sz w:val="24"/>
          <w:szCs w:val="24"/>
        </w:rPr>
        <w:t>, B, C</w:t>
      </w:r>
      <w:r w:rsidR="000A5E1A" w:rsidRPr="00881AC7">
        <w:rPr>
          <w:rFonts w:ascii="Times New Roman" w:hAnsi="Times New Roman" w:cs="Times New Roman"/>
          <w:sz w:val="24"/>
          <w:szCs w:val="24"/>
        </w:rPr>
        <w:t>)</w:t>
      </w:r>
      <w:r w:rsidR="00591AE9" w:rsidRPr="00881AC7">
        <w:rPr>
          <w:rFonts w:ascii="Times New Roman" w:hAnsi="Times New Roman" w:cs="Times New Roman"/>
          <w:sz w:val="24"/>
          <w:szCs w:val="24"/>
        </w:rPr>
        <w:t>. D</w:t>
      </w:r>
      <w:r w:rsidR="00EA581D" w:rsidRPr="00881AC7">
        <w:rPr>
          <w:rFonts w:ascii="Times New Roman" w:hAnsi="Times New Roman" w:cs="Times New Roman"/>
          <w:sz w:val="24"/>
          <w:szCs w:val="24"/>
        </w:rPr>
        <w:t>ans ces régions plusieurs pointements du Trias  apparaissent en surface</w:t>
      </w:r>
      <w:r w:rsidR="00591AE9" w:rsidRPr="00881AC7">
        <w:rPr>
          <w:rFonts w:ascii="Times New Roman" w:hAnsi="Times New Roman" w:cs="Times New Roman"/>
          <w:sz w:val="24"/>
          <w:szCs w:val="24"/>
        </w:rPr>
        <w:t>, certains présentent un forme sub-circulaire, et d’autre allongés suivant une direction NE-SW. Cette ascension guidée par plusieurs paramètres entre autre, le cadre géodynamique, la structure de batu (le substratum sous évaporites), le</w:t>
      </w:r>
      <w:r w:rsidR="00556545" w:rsidRPr="00881AC7">
        <w:rPr>
          <w:rFonts w:ascii="Times New Roman" w:hAnsi="Times New Roman" w:cs="Times New Roman"/>
          <w:sz w:val="24"/>
          <w:szCs w:val="24"/>
        </w:rPr>
        <w:t xml:space="preserve"> volume de matière disponible,le</w:t>
      </w:r>
      <w:r w:rsidR="00591AE9" w:rsidRPr="00881AC7">
        <w:rPr>
          <w:rFonts w:ascii="Times New Roman" w:hAnsi="Times New Roman" w:cs="Times New Roman"/>
          <w:sz w:val="24"/>
          <w:szCs w:val="24"/>
        </w:rPr>
        <w:t xml:space="preserve">taux de sédimentation durant le dépôt </w:t>
      </w:r>
      <w:r w:rsidR="00556545" w:rsidRPr="00881AC7">
        <w:rPr>
          <w:rFonts w:ascii="Times New Roman" w:hAnsi="Times New Roman" w:cs="Times New Roman"/>
          <w:sz w:val="24"/>
          <w:szCs w:val="24"/>
        </w:rPr>
        <w:t xml:space="preserve"> des séries sus-jacentes.</w:t>
      </w:r>
    </w:p>
    <w:p w:rsidR="00B0416D" w:rsidRDefault="00B0416D" w:rsidP="00B0416D">
      <w:pPr>
        <w:autoSpaceDE w:val="0"/>
        <w:autoSpaceDN w:val="0"/>
        <w:adjustRightInd w:val="0"/>
        <w:spacing w:before="120" w:after="120"/>
        <w:ind w:firstLine="708"/>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anchor distT="0" distB="0" distL="114300" distR="114300" simplePos="0" relativeHeight="251662336" behindDoc="0" locked="0" layoutInCell="1" allowOverlap="1">
            <wp:simplePos x="0" y="0"/>
            <wp:positionH relativeFrom="margin">
              <wp:posOffset>-238760</wp:posOffset>
            </wp:positionH>
            <wp:positionV relativeFrom="margin">
              <wp:posOffset>790575</wp:posOffset>
            </wp:positionV>
            <wp:extent cx="6332855" cy="4419600"/>
            <wp:effectExtent l="19050" t="0" r="0" b="0"/>
            <wp:wrapSquare wrapText="bothSides"/>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lum/>
                    </a:blip>
                    <a:srcRect/>
                    <a:stretch>
                      <a:fillRect/>
                    </a:stretch>
                  </pic:blipFill>
                  <pic:spPr bwMode="auto">
                    <a:xfrm>
                      <a:off x="0" y="0"/>
                      <a:ext cx="6332855" cy="44196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fr-FR"/>
        </w:rPr>
        <w:drawing>
          <wp:anchor distT="0" distB="0" distL="114300" distR="114300" simplePos="0" relativeHeight="251663360" behindDoc="0" locked="0" layoutInCell="1" allowOverlap="1">
            <wp:simplePos x="0" y="0"/>
            <wp:positionH relativeFrom="margin">
              <wp:posOffset>-45720</wp:posOffset>
            </wp:positionH>
            <wp:positionV relativeFrom="margin">
              <wp:posOffset>5746750</wp:posOffset>
            </wp:positionV>
            <wp:extent cx="5985510" cy="3111500"/>
            <wp:effectExtent l="19050" t="0" r="0" b="0"/>
            <wp:wrapSquare wrapText="bothSides"/>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lum/>
                    </a:blip>
                    <a:srcRect/>
                    <a:stretch>
                      <a:fillRect/>
                    </a:stretch>
                  </pic:blipFill>
                  <pic:spPr bwMode="auto">
                    <a:xfrm>
                      <a:off x="0" y="0"/>
                      <a:ext cx="5985510" cy="3111500"/>
                    </a:xfrm>
                    <a:prstGeom prst="rect">
                      <a:avLst/>
                    </a:prstGeom>
                    <a:noFill/>
                    <a:ln w="9525">
                      <a:noFill/>
                      <a:miter lim="800000"/>
                      <a:headEnd/>
                      <a:tailEnd/>
                    </a:ln>
                  </pic:spPr>
                </pic:pic>
              </a:graphicData>
            </a:graphic>
          </wp:anchor>
        </w:drawing>
      </w:r>
      <w:r w:rsidR="005C7393" w:rsidRPr="00881AC7">
        <w:rPr>
          <w:rFonts w:ascii="Times New Roman" w:hAnsi="Times New Roman" w:cs="Times New Roman"/>
          <w:sz w:val="24"/>
          <w:szCs w:val="24"/>
        </w:rPr>
        <w:t xml:space="preserve">Dans la partie méridionale du domaine atlasique (Monts des Ksours, Monts de Djebel Amour, et OuladNails), deux entités géologiques sont distinguées habituellement sur le plan structural par les pluparts des hauteurs. Au </w:t>
      </w:r>
      <w:r w:rsidR="00A80B9F" w:rsidRPr="00881AC7">
        <w:rPr>
          <w:rFonts w:ascii="Times New Roman" w:hAnsi="Times New Roman" w:cs="Times New Roman"/>
          <w:sz w:val="24"/>
          <w:szCs w:val="24"/>
        </w:rPr>
        <w:t>sud l’A</w:t>
      </w:r>
      <w:r w:rsidR="005C7393" w:rsidRPr="00881AC7">
        <w:rPr>
          <w:rFonts w:ascii="Times New Roman" w:hAnsi="Times New Roman" w:cs="Times New Roman"/>
          <w:sz w:val="24"/>
          <w:szCs w:val="24"/>
        </w:rPr>
        <w:t xml:space="preserve">tlas plissé et au nord </w:t>
      </w:r>
      <w:r w:rsidR="00A80B9F" w:rsidRPr="00881AC7">
        <w:rPr>
          <w:rFonts w:ascii="Times New Roman" w:hAnsi="Times New Roman" w:cs="Times New Roman"/>
          <w:sz w:val="24"/>
          <w:szCs w:val="24"/>
        </w:rPr>
        <w:t xml:space="preserve">le </w:t>
      </w:r>
      <w:r w:rsidR="005C7393" w:rsidRPr="00881AC7">
        <w:rPr>
          <w:rFonts w:ascii="Times New Roman" w:hAnsi="Times New Roman" w:cs="Times New Roman"/>
          <w:sz w:val="24"/>
          <w:szCs w:val="24"/>
        </w:rPr>
        <w:t>Pré-atlas tabulaire</w:t>
      </w:r>
      <w:r w:rsidR="00A80B9F" w:rsidRPr="00881AC7">
        <w:rPr>
          <w:rFonts w:ascii="Times New Roman" w:hAnsi="Times New Roman" w:cs="Times New Roman"/>
          <w:sz w:val="24"/>
          <w:szCs w:val="24"/>
        </w:rPr>
        <w:t xml:space="preserve">. </w:t>
      </w:r>
    </w:p>
    <w:p w:rsidR="00664923" w:rsidRPr="00881AC7" w:rsidRDefault="00664923" w:rsidP="00B0416D">
      <w:pPr>
        <w:autoSpaceDE w:val="0"/>
        <w:autoSpaceDN w:val="0"/>
        <w:adjustRightInd w:val="0"/>
        <w:spacing w:before="120" w:after="120"/>
        <w:ind w:firstLine="708"/>
        <w:jc w:val="both"/>
        <w:rPr>
          <w:rFonts w:ascii="Times New Roman" w:hAnsi="Times New Roman" w:cs="Times New Roman"/>
          <w:sz w:val="24"/>
          <w:szCs w:val="24"/>
        </w:rPr>
      </w:pPr>
      <w:r w:rsidRPr="00881AC7">
        <w:rPr>
          <w:rFonts w:ascii="Times New Roman" w:hAnsi="Times New Roman" w:cs="Times New Roman"/>
          <w:sz w:val="24"/>
          <w:szCs w:val="24"/>
        </w:rPr>
        <w:t xml:space="preserve">La limite entre ces deux entités est soulignée par </w:t>
      </w:r>
      <w:r w:rsidRPr="00881AC7">
        <w:rPr>
          <w:rFonts w:ascii="Times New Roman" w:hAnsi="Times New Roman" w:cs="Times New Roman"/>
          <w:b/>
          <w:i/>
          <w:sz w:val="24"/>
          <w:szCs w:val="24"/>
        </w:rPr>
        <w:t xml:space="preserve">l’accident  nord atlasique. </w:t>
      </w:r>
      <w:r w:rsidRPr="00881AC7">
        <w:rPr>
          <w:rFonts w:ascii="Times New Roman" w:hAnsi="Times New Roman" w:cs="Times New Roman"/>
          <w:sz w:val="24"/>
          <w:szCs w:val="24"/>
        </w:rPr>
        <w:t>Cet  accident a été considéré comme une limite paléogéographique.</w:t>
      </w:r>
    </w:p>
    <w:p w:rsidR="0025546C" w:rsidRPr="00881AC7" w:rsidRDefault="0025546C" w:rsidP="00664923">
      <w:pPr>
        <w:autoSpaceDE w:val="0"/>
        <w:autoSpaceDN w:val="0"/>
        <w:adjustRightInd w:val="0"/>
        <w:spacing w:before="120" w:after="120"/>
        <w:ind w:firstLine="708"/>
        <w:jc w:val="both"/>
        <w:rPr>
          <w:rFonts w:ascii="Times New Roman" w:hAnsi="Times New Roman" w:cs="Times New Roman"/>
          <w:sz w:val="24"/>
          <w:szCs w:val="24"/>
        </w:rPr>
      </w:pPr>
      <w:r w:rsidRPr="00881AC7">
        <w:rPr>
          <w:rFonts w:ascii="Times New Roman" w:hAnsi="Times New Roman" w:cs="Times New Roman"/>
          <w:sz w:val="24"/>
          <w:szCs w:val="24"/>
        </w:rPr>
        <w:lastRenderedPageBreak/>
        <w:t>Dans l’Atlas plissé, les structures décrite</w:t>
      </w:r>
      <w:r w:rsidR="00B328D1" w:rsidRPr="00881AC7">
        <w:rPr>
          <w:rFonts w:ascii="Times New Roman" w:hAnsi="Times New Roman" w:cs="Times New Roman"/>
          <w:sz w:val="24"/>
          <w:szCs w:val="24"/>
        </w:rPr>
        <w:t>s</w:t>
      </w:r>
      <w:r w:rsidRPr="00881AC7">
        <w:rPr>
          <w:rFonts w:ascii="Times New Roman" w:hAnsi="Times New Roman" w:cs="Times New Roman"/>
          <w:sz w:val="24"/>
          <w:szCs w:val="24"/>
        </w:rPr>
        <w:t xml:space="preserve"> sont qualifiées de longues et étroites pour les anticlinaux et larges et à fond plans pour les synclinaux. </w:t>
      </w:r>
    </w:p>
    <w:p w:rsidR="00025949" w:rsidRPr="00881AC7" w:rsidRDefault="0016710F" w:rsidP="00664923">
      <w:pPr>
        <w:autoSpaceDE w:val="0"/>
        <w:autoSpaceDN w:val="0"/>
        <w:adjustRightInd w:val="0"/>
        <w:spacing w:before="120" w:after="120"/>
        <w:ind w:firstLine="708"/>
        <w:jc w:val="both"/>
        <w:rPr>
          <w:rFonts w:ascii="Times New Roman" w:hAnsi="Times New Roman" w:cs="Times New Roman"/>
          <w:sz w:val="24"/>
          <w:szCs w:val="24"/>
        </w:rPr>
      </w:pPr>
      <w:r w:rsidRPr="00881AC7">
        <w:rPr>
          <w:rFonts w:ascii="Times New Roman" w:hAnsi="Times New Roman" w:cs="Times New Roman"/>
          <w:sz w:val="24"/>
          <w:szCs w:val="24"/>
        </w:rPr>
        <w:t>Le Pré-atlas considéré comme tabulaire montre des plis aussi bien dans ses zones occidentales   (par exemple la région de Mechria), au centre (région d’Al Bayadh)ou encore vers l’est (au nord de Bou Saada). Les structures anticlinales présentent parfois des flancs sub-verticaux, voire déversé</w:t>
      </w:r>
      <w:r w:rsidR="00B059AF" w:rsidRPr="00881AC7">
        <w:rPr>
          <w:rFonts w:ascii="Times New Roman" w:hAnsi="Times New Roman" w:cs="Times New Roman"/>
          <w:sz w:val="24"/>
          <w:szCs w:val="24"/>
        </w:rPr>
        <w:t>s</w:t>
      </w:r>
      <w:r w:rsidRPr="00881AC7">
        <w:rPr>
          <w:rFonts w:ascii="Times New Roman" w:hAnsi="Times New Roman" w:cs="Times New Roman"/>
          <w:sz w:val="24"/>
          <w:szCs w:val="24"/>
        </w:rPr>
        <w:t xml:space="preserve"> vers le sud</w:t>
      </w:r>
      <w:r w:rsidR="00B059AF" w:rsidRPr="00881AC7">
        <w:rPr>
          <w:rFonts w:ascii="Times New Roman" w:hAnsi="Times New Roman" w:cs="Times New Roman"/>
          <w:sz w:val="24"/>
          <w:szCs w:val="24"/>
        </w:rPr>
        <w:t>. Les axes de plis sont orientés SW-NE, de même que les pluparts des accidents. Les anticlinaux sont parfois percés par des diapirs. La mobilité de ce matériel triasique débutant dès le Lias et qui se poursuit jusqu’au Quaternaire.</w:t>
      </w:r>
      <w:r w:rsidR="00BA2D6B" w:rsidRPr="00881AC7">
        <w:rPr>
          <w:rFonts w:ascii="Times New Roman" w:hAnsi="Times New Roman" w:cs="Times New Roman"/>
          <w:sz w:val="24"/>
          <w:szCs w:val="24"/>
        </w:rPr>
        <w:t xml:space="preserve"> L’initiation du mouvement est contemporaine de la phase distensive du Lias et présente une relation avec les événements géodynamiques reconnus dans cette partie de la marge sud-téthysienne.  </w:t>
      </w:r>
    </w:p>
    <w:p w:rsidR="00E20938" w:rsidRPr="00881AC7" w:rsidRDefault="00EE6C36" w:rsidP="00664923">
      <w:pPr>
        <w:autoSpaceDE w:val="0"/>
        <w:autoSpaceDN w:val="0"/>
        <w:adjustRightInd w:val="0"/>
        <w:spacing w:before="120" w:after="120"/>
        <w:ind w:firstLine="708"/>
        <w:jc w:val="both"/>
        <w:rPr>
          <w:rFonts w:ascii="Times New Roman" w:hAnsi="Times New Roman" w:cs="Times New Roman"/>
          <w:sz w:val="24"/>
          <w:szCs w:val="24"/>
        </w:rPr>
      </w:pPr>
      <w:r w:rsidRPr="00881AC7">
        <w:rPr>
          <w:rFonts w:ascii="Times New Roman" w:hAnsi="Times New Roman" w:cs="Times New Roman"/>
          <w:noProof/>
          <w:sz w:val="24"/>
          <w:szCs w:val="24"/>
          <w:lang w:eastAsia="fr-FR"/>
        </w:rPr>
        <w:drawing>
          <wp:anchor distT="0" distB="0" distL="114300" distR="114300" simplePos="0" relativeHeight="251667456" behindDoc="0" locked="0" layoutInCell="1" allowOverlap="1">
            <wp:simplePos x="0" y="0"/>
            <wp:positionH relativeFrom="margin">
              <wp:posOffset>-281305</wp:posOffset>
            </wp:positionH>
            <wp:positionV relativeFrom="margin">
              <wp:posOffset>3173730</wp:posOffset>
            </wp:positionV>
            <wp:extent cx="6424295" cy="2419985"/>
            <wp:effectExtent l="19050" t="0" r="0" b="0"/>
            <wp:wrapSquare wrapText="bothSides"/>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6424295" cy="2419985"/>
                    </a:xfrm>
                    <a:prstGeom prst="rect">
                      <a:avLst/>
                    </a:prstGeom>
                    <a:noFill/>
                    <a:ln w="9525">
                      <a:noFill/>
                      <a:miter lim="800000"/>
                      <a:headEnd/>
                      <a:tailEnd/>
                    </a:ln>
                  </pic:spPr>
                </pic:pic>
              </a:graphicData>
            </a:graphic>
          </wp:anchor>
        </w:drawing>
      </w:r>
      <w:r w:rsidR="009311B9" w:rsidRPr="00881AC7">
        <w:rPr>
          <w:rFonts w:ascii="Times New Roman" w:hAnsi="Times New Roman" w:cs="Times New Roman"/>
          <w:sz w:val="24"/>
          <w:szCs w:val="24"/>
        </w:rPr>
        <w:t>Deux modèles sont proposés pour la formation de la chaine. Le premier attribue un rôle important aux décrochements (durant la phase de rifting). Ce sont les accidents de socle qui régiraient la structure de ce domaine</w:t>
      </w:r>
      <w:r w:rsidR="00E1548F" w:rsidRPr="00881AC7">
        <w:rPr>
          <w:rFonts w:ascii="Times New Roman" w:hAnsi="Times New Roman" w:cs="Times New Roman"/>
          <w:sz w:val="24"/>
          <w:szCs w:val="24"/>
        </w:rPr>
        <w:t xml:space="preserve"> comme  le présentent les coupes</w:t>
      </w:r>
      <w:r w:rsidR="00992EEA" w:rsidRPr="00881AC7">
        <w:rPr>
          <w:rFonts w:ascii="Times New Roman" w:hAnsi="Times New Roman" w:cs="Times New Roman"/>
          <w:sz w:val="24"/>
          <w:szCs w:val="24"/>
        </w:rPr>
        <w:t xml:space="preserve"> Fig</w:t>
      </w:r>
      <w:r w:rsidR="008A6267" w:rsidRPr="00881AC7">
        <w:rPr>
          <w:rFonts w:ascii="Times New Roman" w:hAnsi="Times New Roman" w:cs="Times New Roman"/>
          <w:sz w:val="24"/>
          <w:szCs w:val="24"/>
        </w:rPr>
        <w:t>.</w:t>
      </w:r>
      <w:r w:rsidR="00F63582">
        <w:rPr>
          <w:rFonts w:ascii="Times New Roman" w:hAnsi="Times New Roman" w:cs="Times New Roman"/>
          <w:sz w:val="24"/>
          <w:szCs w:val="24"/>
        </w:rPr>
        <w:t xml:space="preserve">4 </w:t>
      </w:r>
      <w:r w:rsidR="00992EEA" w:rsidRPr="00881AC7">
        <w:rPr>
          <w:rFonts w:ascii="Times New Roman" w:hAnsi="Times New Roman" w:cs="Times New Roman"/>
          <w:sz w:val="24"/>
          <w:szCs w:val="24"/>
        </w:rPr>
        <w:t>(a ; Guiraud), (b ;Vially), (c ;Djebar)</w:t>
      </w:r>
      <w:r w:rsidR="00F63582">
        <w:rPr>
          <w:rFonts w:ascii="Times New Roman" w:hAnsi="Times New Roman" w:cs="Times New Roman"/>
          <w:sz w:val="24"/>
          <w:szCs w:val="24"/>
        </w:rPr>
        <w:t>.</w:t>
      </w:r>
    </w:p>
    <w:p w:rsidR="00EE6C36" w:rsidRPr="00881AC7" w:rsidRDefault="00165FA0" w:rsidP="00664923">
      <w:pPr>
        <w:autoSpaceDE w:val="0"/>
        <w:autoSpaceDN w:val="0"/>
        <w:adjustRightInd w:val="0"/>
        <w:spacing w:before="120" w:after="120"/>
        <w:ind w:firstLine="708"/>
        <w:jc w:val="both"/>
        <w:rPr>
          <w:rFonts w:ascii="Times New Roman" w:hAnsi="Times New Roman" w:cs="Times New Roman"/>
          <w:sz w:val="24"/>
          <w:szCs w:val="24"/>
        </w:rPr>
      </w:pPr>
      <w:r>
        <w:rPr>
          <w:rFonts w:ascii="Times New Roman" w:hAnsi="Times New Roman" w:cs="Times New Roman"/>
          <w:noProof/>
          <w:sz w:val="24"/>
          <w:szCs w:val="24"/>
          <w:lang w:eastAsia="fr-FR"/>
        </w:rPr>
        <w:pict>
          <v:shapetype id="_x0000_t202" coordsize="21600,21600" o:spt="202" path="m,l,21600r21600,l21600,xe">
            <v:stroke joinstyle="miter"/>
            <v:path gradientshapeok="t" o:connecttype="rect"/>
          </v:shapetype>
          <v:shape id="_x0000_s1026" type="#_x0000_t202" style="position:absolute;left:0;text-align:left;margin-left:-32pt;margin-top:228.5pt;width:523.4pt;height:57.6pt;z-index:251670528" strokecolor="white [3212]">
            <v:textbox style="mso-next-textbox:#_x0000_s1026">
              <w:txbxContent>
                <w:p w:rsidR="006536BE" w:rsidRPr="009826A1" w:rsidRDefault="006536BE">
                  <w:pPr>
                    <w:rPr>
                      <w:rFonts w:ascii="Times New Roman" w:hAnsi="Times New Roman" w:cs="Times New Roman"/>
                      <w:sz w:val="24"/>
                      <w:szCs w:val="24"/>
                    </w:rPr>
                  </w:pPr>
                  <w:r w:rsidRPr="009826A1">
                    <w:rPr>
                      <w:rFonts w:ascii="Times New Roman" w:hAnsi="Times New Roman" w:cs="Times New Roman"/>
                      <w:b/>
                      <w:bCs/>
                      <w:sz w:val="24"/>
                      <w:szCs w:val="24"/>
                    </w:rPr>
                    <w:t xml:space="preserve">Fig.  </w:t>
                  </w:r>
                  <w:r w:rsidR="00F63582" w:rsidRPr="009826A1">
                    <w:rPr>
                      <w:rFonts w:ascii="Times New Roman" w:hAnsi="Times New Roman" w:cs="Times New Roman"/>
                      <w:b/>
                      <w:bCs/>
                      <w:sz w:val="24"/>
                      <w:szCs w:val="24"/>
                    </w:rPr>
                    <w:t>4</w:t>
                  </w:r>
                  <w:r w:rsidRPr="009826A1">
                    <w:rPr>
                      <w:rFonts w:ascii="Times New Roman" w:hAnsi="Times New Roman" w:cs="Times New Roman"/>
                      <w:sz w:val="24"/>
                      <w:szCs w:val="24"/>
                    </w:rPr>
                    <w:t xml:space="preserve">  /Coupes structurales dans différentes région de l’Atlas Saharien. Suivant ces coupes, la structure du domaine atlasique est liée essentiellement aux mouvements décrochants de l’accident sud </w:t>
                  </w:r>
                  <w:r w:rsidR="005F772E" w:rsidRPr="009826A1">
                    <w:rPr>
                      <w:rFonts w:ascii="Times New Roman" w:hAnsi="Times New Roman" w:cs="Times New Roman"/>
                      <w:sz w:val="24"/>
                      <w:szCs w:val="24"/>
                    </w:rPr>
                    <w:t>atlasique (</w:t>
                  </w:r>
                  <w:r w:rsidRPr="009826A1">
                    <w:rPr>
                      <w:rFonts w:ascii="Times New Roman" w:hAnsi="Times New Roman" w:cs="Times New Roman"/>
                      <w:sz w:val="24"/>
                      <w:szCs w:val="24"/>
                    </w:rPr>
                    <w:t>Vially et al</w:t>
                  </w:r>
                  <w:r w:rsidR="005F772E" w:rsidRPr="009826A1">
                    <w:rPr>
                      <w:rFonts w:ascii="Times New Roman" w:hAnsi="Times New Roman" w:cs="Times New Roman"/>
                      <w:sz w:val="24"/>
                      <w:szCs w:val="24"/>
                    </w:rPr>
                    <w:t xml:space="preserve">), fig.b considère un décollement crustal et l’accident sud atlasique comme étant une faille normale rejouant en inverse au tertiaire.  </w:t>
                  </w:r>
                </w:p>
              </w:txbxContent>
            </v:textbox>
          </v:shape>
        </w:pict>
      </w:r>
      <w:r w:rsidR="009826A1">
        <w:rPr>
          <w:rFonts w:ascii="Times New Roman" w:hAnsi="Times New Roman" w:cs="Times New Roman"/>
          <w:noProof/>
          <w:sz w:val="24"/>
          <w:szCs w:val="24"/>
          <w:lang w:eastAsia="fr-FR"/>
        </w:rPr>
        <w:drawing>
          <wp:anchor distT="0" distB="0" distL="114300" distR="114300" simplePos="0" relativeHeight="251692032" behindDoc="0" locked="0" layoutInCell="1" allowOverlap="1">
            <wp:simplePos x="0" y="0"/>
            <wp:positionH relativeFrom="margin">
              <wp:posOffset>-55880</wp:posOffset>
            </wp:positionH>
            <wp:positionV relativeFrom="margin">
              <wp:posOffset>7081520</wp:posOffset>
            </wp:positionV>
            <wp:extent cx="6058535" cy="1304290"/>
            <wp:effectExtent l="19050" t="0" r="0" b="0"/>
            <wp:wrapSquare wrapText="bothSides"/>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058535" cy="1304290"/>
                    </a:xfrm>
                    <a:prstGeom prst="rect">
                      <a:avLst/>
                    </a:prstGeom>
                    <a:noFill/>
                    <a:ln w="9525">
                      <a:noFill/>
                      <a:miter lim="800000"/>
                      <a:headEnd/>
                      <a:tailEnd/>
                    </a:ln>
                  </pic:spPr>
                </pic:pic>
              </a:graphicData>
            </a:graphic>
          </wp:anchor>
        </w:drawing>
      </w:r>
      <w:r w:rsidR="009826A1">
        <w:rPr>
          <w:rFonts w:ascii="Times New Roman" w:hAnsi="Times New Roman" w:cs="Times New Roman"/>
          <w:noProof/>
          <w:sz w:val="24"/>
          <w:szCs w:val="24"/>
          <w:lang w:eastAsia="fr-FR"/>
        </w:rPr>
        <w:drawing>
          <wp:anchor distT="0" distB="0" distL="114300" distR="114300" simplePos="0" relativeHeight="251666432" behindDoc="0" locked="0" layoutInCell="1" allowOverlap="1">
            <wp:simplePos x="0" y="0"/>
            <wp:positionH relativeFrom="margin">
              <wp:posOffset>560070</wp:posOffset>
            </wp:positionH>
            <wp:positionV relativeFrom="margin">
              <wp:posOffset>5722620</wp:posOffset>
            </wp:positionV>
            <wp:extent cx="4280535" cy="1358900"/>
            <wp:effectExtent l="19050" t="0" r="5715" b="0"/>
            <wp:wrapSquare wrapText="bothSides"/>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4280535" cy="1358900"/>
                    </a:xfrm>
                    <a:prstGeom prst="rect">
                      <a:avLst/>
                    </a:prstGeom>
                    <a:noFill/>
                    <a:ln w="9525">
                      <a:noFill/>
                      <a:miter lim="800000"/>
                      <a:headEnd/>
                      <a:tailEnd/>
                    </a:ln>
                  </pic:spPr>
                </pic:pic>
              </a:graphicData>
            </a:graphic>
          </wp:anchor>
        </w:drawing>
      </w:r>
    </w:p>
    <w:p w:rsidR="00E20938" w:rsidRPr="00881AC7" w:rsidRDefault="00E20938" w:rsidP="00664923">
      <w:pPr>
        <w:autoSpaceDE w:val="0"/>
        <w:autoSpaceDN w:val="0"/>
        <w:adjustRightInd w:val="0"/>
        <w:spacing w:before="120" w:after="120"/>
        <w:ind w:firstLine="708"/>
        <w:jc w:val="both"/>
        <w:rPr>
          <w:rFonts w:ascii="Times New Roman" w:hAnsi="Times New Roman" w:cs="Times New Roman"/>
          <w:sz w:val="24"/>
          <w:szCs w:val="24"/>
        </w:rPr>
      </w:pPr>
    </w:p>
    <w:p w:rsidR="00E764B7" w:rsidRPr="00881AC7" w:rsidRDefault="00FD57C0" w:rsidP="00F63582">
      <w:pPr>
        <w:autoSpaceDE w:val="0"/>
        <w:autoSpaceDN w:val="0"/>
        <w:adjustRightInd w:val="0"/>
        <w:spacing w:before="120" w:after="120"/>
        <w:ind w:firstLine="708"/>
        <w:jc w:val="both"/>
        <w:rPr>
          <w:rFonts w:ascii="Times New Roman" w:hAnsi="Times New Roman" w:cs="Times New Roman"/>
          <w:sz w:val="24"/>
          <w:szCs w:val="24"/>
        </w:rPr>
      </w:pPr>
      <w:r w:rsidRPr="00881AC7">
        <w:rPr>
          <w:rFonts w:ascii="Times New Roman" w:hAnsi="Times New Roman" w:cs="Times New Roman"/>
          <w:sz w:val="24"/>
          <w:szCs w:val="24"/>
        </w:rPr>
        <w:lastRenderedPageBreak/>
        <w:t>Dans ce contexte l</w:t>
      </w:r>
      <w:r w:rsidR="00E764B7" w:rsidRPr="00881AC7">
        <w:rPr>
          <w:rFonts w:ascii="Times New Roman" w:hAnsi="Times New Roman" w:cs="Times New Roman"/>
          <w:sz w:val="24"/>
          <w:szCs w:val="24"/>
        </w:rPr>
        <w:t>’accident sud atlasique le plus important aurait eu  un rôle  d’abord paléogéographique en séparant la Plateforme Saharienne du domaine atlasique et puis durant le Cénozoïque, il aurait rejoué en décrochement (Fig. (b) Vially et al )</w:t>
      </w:r>
    </w:p>
    <w:p w:rsidR="005F772E" w:rsidRPr="00881AC7" w:rsidRDefault="009826A1" w:rsidP="008A6267">
      <w:pPr>
        <w:autoSpaceDE w:val="0"/>
        <w:autoSpaceDN w:val="0"/>
        <w:adjustRightInd w:val="0"/>
        <w:spacing w:before="120" w:after="120"/>
        <w:ind w:firstLine="708"/>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72576" behindDoc="0" locked="0" layoutInCell="1" allowOverlap="1">
            <wp:simplePos x="0" y="0"/>
            <wp:positionH relativeFrom="margin">
              <wp:posOffset>-80010</wp:posOffset>
            </wp:positionH>
            <wp:positionV relativeFrom="margin">
              <wp:posOffset>1924050</wp:posOffset>
            </wp:positionV>
            <wp:extent cx="6028055" cy="3206115"/>
            <wp:effectExtent l="19050" t="0" r="0" b="0"/>
            <wp:wrapSquare wrapText="bothSides"/>
            <wp:docPr id="2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6028055" cy="3206115"/>
                    </a:xfrm>
                    <a:prstGeom prst="rect">
                      <a:avLst/>
                    </a:prstGeom>
                    <a:noFill/>
                    <a:ln w="9525">
                      <a:noFill/>
                      <a:miter lim="800000"/>
                      <a:headEnd/>
                      <a:tailEnd/>
                    </a:ln>
                  </pic:spPr>
                </pic:pic>
              </a:graphicData>
            </a:graphic>
          </wp:anchor>
        </w:drawing>
      </w:r>
      <w:r w:rsidR="00025949" w:rsidRPr="00881AC7">
        <w:rPr>
          <w:rFonts w:ascii="Times New Roman" w:hAnsi="Times New Roman" w:cs="Times New Roman"/>
          <w:sz w:val="24"/>
          <w:szCs w:val="24"/>
        </w:rPr>
        <w:t>La  première phase compressive affectant</w:t>
      </w:r>
      <w:r w:rsidR="006B589E" w:rsidRPr="00881AC7">
        <w:rPr>
          <w:rFonts w:ascii="Times New Roman" w:hAnsi="Times New Roman" w:cs="Times New Roman"/>
          <w:sz w:val="24"/>
          <w:szCs w:val="24"/>
        </w:rPr>
        <w:t>lesséries du Mésozoïque et du Cénozoïque date du Lutétien terminal. Les structures engendrées par cette phase (</w:t>
      </w:r>
      <w:r w:rsidR="006B589E" w:rsidRPr="00881AC7">
        <w:rPr>
          <w:rFonts w:ascii="Times New Roman" w:hAnsi="Times New Roman" w:cs="Times New Roman"/>
          <w:b/>
          <w:i/>
          <w:sz w:val="24"/>
          <w:szCs w:val="24"/>
        </w:rPr>
        <w:t>phase atlasique</w:t>
      </w:r>
      <w:r w:rsidR="006B589E" w:rsidRPr="00881AC7">
        <w:rPr>
          <w:rFonts w:ascii="Times New Roman" w:hAnsi="Times New Roman" w:cs="Times New Roman"/>
          <w:sz w:val="24"/>
          <w:szCs w:val="24"/>
        </w:rPr>
        <w:t xml:space="preserve">)présentent une orientation générale NE-SW et correspondent à plis de rampe </w:t>
      </w:r>
      <w:r w:rsidR="0023493E" w:rsidRPr="00881AC7">
        <w:rPr>
          <w:rFonts w:ascii="Times New Roman" w:hAnsi="Times New Roman" w:cs="Times New Roman"/>
          <w:sz w:val="24"/>
          <w:szCs w:val="24"/>
        </w:rPr>
        <w:t>(</w:t>
      </w:r>
      <w:r w:rsidR="007D635D">
        <w:rPr>
          <w:rFonts w:ascii="Times New Roman" w:hAnsi="Times New Roman" w:cs="Times New Roman"/>
          <w:sz w:val="24"/>
          <w:szCs w:val="24"/>
        </w:rPr>
        <w:t xml:space="preserve">fig. </w:t>
      </w:r>
      <w:r w:rsidR="00B308CC" w:rsidRPr="00881AC7">
        <w:rPr>
          <w:rFonts w:ascii="Times New Roman" w:hAnsi="Times New Roman" w:cs="Times New Roman"/>
          <w:sz w:val="24"/>
          <w:szCs w:val="24"/>
        </w:rPr>
        <w:t>20</w:t>
      </w:r>
      <w:r w:rsidR="00FB4899" w:rsidRPr="00881AC7">
        <w:rPr>
          <w:rFonts w:ascii="Times New Roman" w:hAnsi="Times New Roman" w:cs="Times New Roman"/>
          <w:sz w:val="24"/>
          <w:szCs w:val="24"/>
        </w:rPr>
        <w:t>)</w:t>
      </w:r>
      <w:r w:rsidR="0023493E" w:rsidRPr="00881AC7">
        <w:rPr>
          <w:rFonts w:ascii="Times New Roman" w:hAnsi="Times New Roman" w:cs="Times New Roman"/>
          <w:sz w:val="24"/>
          <w:szCs w:val="24"/>
        </w:rPr>
        <w:t xml:space="preserve">. La seconde phase compressive est d’âge Villafranchien. Elle est décrite dans l’Atlas Saharien oriental, particulièrement le long du front sud-atlasique. </w:t>
      </w:r>
    </w:p>
    <w:p w:rsidR="00881AC7" w:rsidRPr="00881AC7" w:rsidRDefault="009826A1" w:rsidP="002E4432">
      <w:pPr>
        <w:autoSpaceDE w:val="0"/>
        <w:autoSpaceDN w:val="0"/>
        <w:adjustRightInd w:val="0"/>
        <w:spacing w:before="120" w:after="120"/>
        <w:jc w:val="both"/>
        <w:rPr>
          <w:rFonts w:ascii="Times New Roman" w:hAnsi="Times New Roman" w:cs="Times New Roman"/>
          <w:b/>
          <w:sz w:val="24"/>
          <w:szCs w:val="24"/>
        </w:rPr>
      </w:pPr>
      <w:r>
        <w:rPr>
          <w:rFonts w:ascii="Times New Roman" w:hAnsi="Times New Roman" w:cs="Times New Roman"/>
          <w:b/>
          <w:noProof/>
          <w:sz w:val="24"/>
          <w:szCs w:val="24"/>
          <w:lang w:eastAsia="fr-FR"/>
        </w:rPr>
        <w:drawing>
          <wp:anchor distT="0" distB="0" distL="114300" distR="114300" simplePos="0" relativeHeight="251682816" behindDoc="0" locked="0" layoutInCell="1" allowOverlap="1">
            <wp:simplePos x="0" y="0"/>
            <wp:positionH relativeFrom="margin">
              <wp:posOffset>-43815</wp:posOffset>
            </wp:positionH>
            <wp:positionV relativeFrom="margin">
              <wp:posOffset>5368290</wp:posOffset>
            </wp:positionV>
            <wp:extent cx="5991225" cy="3169285"/>
            <wp:effectExtent l="19050" t="0" r="9525" b="0"/>
            <wp:wrapSquare wrapText="bothSides"/>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srcRect/>
                    <a:stretch>
                      <a:fillRect/>
                    </a:stretch>
                  </pic:blipFill>
                  <pic:spPr bwMode="auto">
                    <a:xfrm>
                      <a:off x="0" y="0"/>
                      <a:ext cx="5991225" cy="3169285"/>
                    </a:xfrm>
                    <a:prstGeom prst="rect">
                      <a:avLst/>
                    </a:prstGeom>
                    <a:noFill/>
                    <a:ln w="9525">
                      <a:noFill/>
                      <a:miter lim="800000"/>
                      <a:headEnd/>
                      <a:tailEnd/>
                    </a:ln>
                  </pic:spPr>
                </pic:pic>
              </a:graphicData>
            </a:graphic>
          </wp:anchor>
        </w:drawing>
      </w:r>
    </w:p>
    <w:p w:rsidR="009826A1" w:rsidRDefault="009826A1" w:rsidP="00B25569">
      <w:pPr>
        <w:rPr>
          <w:rFonts w:ascii="Times New Roman" w:hAnsi="Times New Roman" w:cs="Times New Roman"/>
          <w:sz w:val="24"/>
          <w:szCs w:val="24"/>
        </w:rPr>
      </w:pPr>
    </w:p>
    <w:p w:rsidR="00881AC7" w:rsidRPr="00B25569" w:rsidRDefault="00881AC7" w:rsidP="00B25569">
      <w:pPr>
        <w:rPr>
          <w:rFonts w:ascii="Times New Roman" w:hAnsi="Times New Roman" w:cs="Times New Roman"/>
          <w:sz w:val="24"/>
          <w:szCs w:val="24"/>
        </w:rPr>
      </w:pPr>
      <w:r w:rsidRPr="00881AC7">
        <w:rPr>
          <w:rFonts w:ascii="Times New Roman" w:hAnsi="Times New Roman" w:cs="Times New Roman"/>
          <w:b/>
          <w:bCs/>
          <w:spacing w:val="14"/>
          <w:sz w:val="24"/>
          <w:szCs w:val="24"/>
        </w:rPr>
        <w:lastRenderedPageBreak/>
        <w:t>La chaîne des Maghrébides</w:t>
      </w:r>
    </w:p>
    <w:p w:rsidR="00881AC7" w:rsidRPr="00881AC7" w:rsidRDefault="00881AC7" w:rsidP="00881AC7">
      <w:pPr>
        <w:spacing w:before="324"/>
        <w:ind w:firstLine="720"/>
        <w:jc w:val="both"/>
        <w:rPr>
          <w:rFonts w:ascii="Times New Roman" w:hAnsi="Times New Roman" w:cs="Times New Roman"/>
          <w:sz w:val="24"/>
          <w:szCs w:val="24"/>
        </w:rPr>
      </w:pPr>
      <w:r w:rsidRPr="00881AC7">
        <w:rPr>
          <w:rFonts w:ascii="Times New Roman" w:hAnsi="Times New Roman" w:cs="Times New Roman"/>
          <w:sz w:val="24"/>
          <w:szCs w:val="24"/>
        </w:rPr>
        <w:t>La chaîne alpine d’Afrique du Nord ou chaîne des Maghrébides fait partie de l’orogène alpin péri-méditerranéen (Durand-Delga, 1969) d’âge Tertiaire qui s’étend de l’Ouest à l’Est sur 2000 km depuis l’Espagne du Sud à l’arc calabro-sicilien (figure</w:t>
      </w:r>
      <w:r w:rsidR="00702DF1">
        <w:rPr>
          <w:rFonts w:ascii="Times New Roman" w:hAnsi="Times New Roman" w:cs="Times New Roman"/>
          <w:sz w:val="24"/>
          <w:szCs w:val="24"/>
        </w:rPr>
        <w:t>s</w:t>
      </w:r>
      <w:r w:rsidRPr="00881AC7">
        <w:rPr>
          <w:rFonts w:ascii="Times New Roman" w:hAnsi="Times New Roman" w:cs="Times New Roman"/>
          <w:sz w:val="24"/>
          <w:szCs w:val="24"/>
        </w:rPr>
        <w:t xml:space="preserve"> 1</w:t>
      </w:r>
      <w:r w:rsidR="00702DF1">
        <w:rPr>
          <w:rFonts w:ascii="Times New Roman" w:hAnsi="Times New Roman" w:cs="Times New Roman"/>
          <w:sz w:val="24"/>
          <w:szCs w:val="24"/>
        </w:rPr>
        <w:t> et 2</w:t>
      </w:r>
      <w:r w:rsidRPr="00881AC7">
        <w:rPr>
          <w:rFonts w:ascii="Times New Roman" w:hAnsi="Times New Roman" w:cs="Times New Roman"/>
          <w:sz w:val="24"/>
          <w:szCs w:val="24"/>
        </w:rPr>
        <w:t>).</w:t>
      </w:r>
    </w:p>
    <w:p w:rsidR="00881AC7" w:rsidRPr="00881AC7" w:rsidRDefault="00881AC7" w:rsidP="00881AC7">
      <w:pPr>
        <w:ind w:firstLine="720"/>
        <w:jc w:val="both"/>
        <w:rPr>
          <w:rFonts w:ascii="Times New Roman" w:hAnsi="Times New Roman" w:cs="Times New Roman"/>
          <w:sz w:val="24"/>
          <w:szCs w:val="24"/>
        </w:rPr>
      </w:pPr>
      <w:r w:rsidRPr="00881AC7">
        <w:rPr>
          <w:rFonts w:ascii="Times New Roman" w:hAnsi="Times New Roman" w:cs="Times New Roman"/>
          <w:sz w:val="24"/>
          <w:szCs w:val="24"/>
        </w:rPr>
        <w:t>Dans ce domaine en forme d’anneau très aplati, on distingue classiquement les zones internes, situées à l’intérieur de l’anneau et représentées aujourd’hui par différents massifs, dispersés le long de la côte méditerranéenne et les zones externes situées à sa périphérie.</w:t>
      </w:r>
    </w:p>
    <w:p w:rsidR="00881AC7" w:rsidRPr="00881AC7" w:rsidRDefault="00881AC7" w:rsidP="00881AC7">
      <w:pPr>
        <w:ind w:firstLine="720"/>
        <w:jc w:val="both"/>
        <w:rPr>
          <w:rFonts w:ascii="Times New Roman" w:hAnsi="Times New Roman" w:cs="Times New Roman"/>
          <w:b/>
          <w:bCs/>
          <w:sz w:val="24"/>
          <w:szCs w:val="24"/>
        </w:rPr>
      </w:pPr>
      <w:r w:rsidRPr="00881AC7">
        <w:rPr>
          <w:rFonts w:ascii="Times New Roman" w:hAnsi="Times New Roman" w:cs="Times New Roman"/>
          <w:sz w:val="24"/>
          <w:szCs w:val="24"/>
        </w:rPr>
        <w:t>Le domaine de la chaîne des Maghrébides a connu des phases de déformations méso</w:t>
      </w:r>
      <w:r w:rsidRPr="00881AC7">
        <w:rPr>
          <w:rFonts w:ascii="Times New Roman" w:hAnsi="Times New Roman" w:cs="Times New Roman"/>
          <w:sz w:val="24"/>
          <w:szCs w:val="24"/>
        </w:rPr>
        <w:softHyphen/>
        <w:t xml:space="preserve">cénozoïques aboutissant à la mise en place de </w:t>
      </w:r>
      <w:r w:rsidRPr="00881AC7">
        <w:rPr>
          <w:rFonts w:ascii="Times New Roman" w:hAnsi="Times New Roman" w:cs="Times New Roman"/>
          <w:b/>
          <w:bCs/>
          <w:sz w:val="24"/>
          <w:szCs w:val="24"/>
        </w:rPr>
        <w:t xml:space="preserve">nappes de charriages. </w:t>
      </w:r>
      <w:r w:rsidRPr="00881AC7">
        <w:rPr>
          <w:rFonts w:ascii="Times New Roman" w:hAnsi="Times New Roman" w:cs="Times New Roman"/>
          <w:sz w:val="24"/>
          <w:szCs w:val="24"/>
        </w:rPr>
        <w:t xml:space="preserve">C’est le domaine des nappes ou domaine </w:t>
      </w:r>
      <w:r w:rsidRPr="00881AC7">
        <w:rPr>
          <w:rFonts w:ascii="Times New Roman" w:hAnsi="Times New Roman" w:cs="Times New Roman"/>
          <w:b/>
          <w:bCs/>
          <w:sz w:val="24"/>
          <w:szCs w:val="24"/>
        </w:rPr>
        <w:t>allochtone.</w:t>
      </w:r>
    </w:p>
    <w:p w:rsidR="00881AC7" w:rsidRPr="00881AC7" w:rsidRDefault="00881AC7" w:rsidP="00881AC7">
      <w:pPr>
        <w:ind w:firstLine="720"/>
        <w:jc w:val="both"/>
        <w:rPr>
          <w:rFonts w:ascii="Times New Roman" w:hAnsi="Times New Roman" w:cs="Times New Roman"/>
          <w:sz w:val="24"/>
          <w:szCs w:val="24"/>
        </w:rPr>
      </w:pPr>
      <w:r w:rsidRPr="00881AC7">
        <w:rPr>
          <w:rFonts w:ascii="Times New Roman" w:hAnsi="Times New Roman" w:cs="Times New Roman"/>
          <w:sz w:val="24"/>
          <w:szCs w:val="24"/>
        </w:rPr>
        <w:t>En Algérie, la chaîne des Maghrébides montre du nord au sud</w:t>
      </w:r>
      <w:r w:rsidR="00702DF1">
        <w:rPr>
          <w:rFonts w:ascii="Times New Roman" w:hAnsi="Times New Roman" w:cs="Times New Roman"/>
          <w:sz w:val="24"/>
          <w:szCs w:val="24"/>
        </w:rPr>
        <w:t xml:space="preserve"> les domaines suivants (figure 3</w:t>
      </w:r>
      <w:r w:rsidRPr="00881AC7">
        <w:rPr>
          <w:rFonts w:ascii="Times New Roman" w:hAnsi="Times New Roman" w:cs="Times New Roman"/>
          <w:sz w:val="24"/>
          <w:szCs w:val="24"/>
        </w:rPr>
        <w:t>) :</w:t>
      </w:r>
    </w:p>
    <w:p w:rsidR="00881AC7" w:rsidRPr="00881AC7" w:rsidRDefault="00881AC7" w:rsidP="00551AC8">
      <w:pPr>
        <w:ind w:firstLine="720"/>
        <w:jc w:val="both"/>
        <w:rPr>
          <w:rFonts w:ascii="Times New Roman" w:hAnsi="Times New Roman" w:cs="Times New Roman"/>
          <w:sz w:val="24"/>
          <w:szCs w:val="24"/>
        </w:rPr>
        <w:sectPr w:rsidR="00881AC7" w:rsidRPr="00881AC7" w:rsidSect="00A41AF0">
          <w:pgSz w:w="11904" w:h="16843"/>
          <w:pgMar w:top="1395" w:right="1264" w:bottom="801" w:left="1327" w:header="567" w:footer="567" w:gutter="0"/>
          <w:pgBorders w:offsetFrom="page">
            <w:top w:val="double" w:sz="4" w:space="24" w:color="auto"/>
            <w:left w:val="double" w:sz="4" w:space="24" w:color="auto"/>
            <w:bottom w:val="double" w:sz="4" w:space="24" w:color="auto"/>
            <w:right w:val="double" w:sz="4" w:space="24" w:color="auto"/>
          </w:pgBorders>
          <w:cols w:space="720"/>
          <w:noEndnote/>
          <w:docGrid w:linePitch="299"/>
        </w:sectPr>
      </w:pPr>
      <w:r w:rsidRPr="00881AC7">
        <w:rPr>
          <w:rFonts w:ascii="Times New Roman" w:hAnsi="Times New Roman" w:cs="Times New Roman"/>
          <w:b/>
          <w:bCs/>
          <w:sz w:val="24"/>
          <w:szCs w:val="24"/>
        </w:rPr>
        <w:t xml:space="preserve">1. un domaine </w:t>
      </w:r>
      <w:r w:rsidR="00E24348" w:rsidRPr="00881AC7">
        <w:rPr>
          <w:rFonts w:ascii="Times New Roman" w:hAnsi="Times New Roman" w:cs="Times New Roman"/>
          <w:b/>
          <w:bCs/>
          <w:sz w:val="24"/>
          <w:szCs w:val="24"/>
        </w:rPr>
        <w:t>interne</w:t>
      </w:r>
      <w:r w:rsidR="00E24348">
        <w:rPr>
          <w:rFonts w:ascii="Times New Roman" w:hAnsi="Times New Roman" w:cs="Times New Roman"/>
          <w:b/>
          <w:bCs/>
          <w:sz w:val="24"/>
          <w:szCs w:val="24"/>
        </w:rPr>
        <w:t xml:space="preserve"> (fig. 4K</w:t>
      </w:r>
      <w:r w:rsidR="00E24348" w:rsidRPr="00881AC7">
        <w:rPr>
          <w:rFonts w:ascii="Times New Roman" w:hAnsi="Times New Roman" w:cs="Times New Roman"/>
          <w:b/>
          <w:bCs/>
          <w:sz w:val="24"/>
          <w:szCs w:val="24"/>
        </w:rPr>
        <w:t>)</w:t>
      </w:r>
      <w:r w:rsidRPr="00881AC7">
        <w:rPr>
          <w:rFonts w:ascii="Times New Roman" w:hAnsi="Times New Roman" w:cs="Times New Roman"/>
          <w:b/>
          <w:bCs/>
          <w:sz w:val="24"/>
          <w:szCs w:val="24"/>
        </w:rPr>
        <w:t xml:space="preserve">: </w:t>
      </w:r>
      <w:r w:rsidRPr="00881AC7">
        <w:rPr>
          <w:rFonts w:ascii="Times New Roman" w:hAnsi="Times New Roman" w:cs="Times New Roman"/>
          <w:sz w:val="24"/>
          <w:szCs w:val="24"/>
        </w:rPr>
        <w:t xml:space="preserve">appelé aussi </w:t>
      </w:r>
      <w:r w:rsidRPr="00881AC7">
        <w:rPr>
          <w:rFonts w:ascii="Times New Roman" w:hAnsi="Times New Roman" w:cs="Times New Roman"/>
          <w:b/>
          <w:bCs/>
          <w:sz w:val="24"/>
          <w:szCs w:val="24"/>
        </w:rPr>
        <w:t xml:space="preserve">socle kabyle </w:t>
      </w:r>
      <w:r w:rsidRPr="00881AC7">
        <w:rPr>
          <w:rFonts w:ascii="Times New Roman" w:hAnsi="Times New Roman" w:cs="Times New Roman"/>
          <w:sz w:val="24"/>
          <w:szCs w:val="24"/>
        </w:rPr>
        <w:t xml:space="preserve">ou </w:t>
      </w:r>
      <w:r w:rsidRPr="00881AC7">
        <w:rPr>
          <w:rFonts w:ascii="Times New Roman" w:hAnsi="Times New Roman" w:cs="Times New Roman"/>
          <w:b/>
          <w:bCs/>
          <w:sz w:val="24"/>
          <w:szCs w:val="24"/>
        </w:rPr>
        <w:t>Kabylide,</w:t>
      </w:r>
      <w:r w:rsidR="00E24348">
        <w:rPr>
          <w:rFonts w:ascii="Times New Roman" w:hAnsi="Times New Roman" w:cs="Times New Roman"/>
          <w:b/>
          <w:bCs/>
          <w:sz w:val="24"/>
          <w:szCs w:val="24"/>
        </w:rPr>
        <w:t>(fig. 4K</w:t>
      </w:r>
      <w:r w:rsidR="00E24348" w:rsidRPr="00881AC7">
        <w:rPr>
          <w:rFonts w:ascii="Times New Roman" w:hAnsi="Times New Roman" w:cs="Times New Roman"/>
          <w:b/>
          <w:bCs/>
          <w:sz w:val="24"/>
          <w:szCs w:val="24"/>
        </w:rPr>
        <w:t xml:space="preserve">) </w:t>
      </w:r>
      <w:r w:rsidRPr="00881AC7">
        <w:rPr>
          <w:rFonts w:ascii="Times New Roman" w:hAnsi="Times New Roman" w:cs="Times New Roman"/>
          <w:sz w:val="24"/>
          <w:szCs w:val="24"/>
        </w:rPr>
        <w:t xml:space="preserve">est composé de massifs cristallophylliens métamorphiques (gneiss, marbres, amphibolites, micaschistes et schistes) et d’un ensemble sédimentaire paléozoïque (Ordovicien à Carbonifère) peu métamorphique. Ce socle affleure d’ouest en est dans les massifs du Chenoua (à l’ouest d’Alger), d’Alger, de Grande Kabylie et de Petite Kabylie (entre Jijel et Skikda). Ce dernier, avec 120 km de long et 30 km de large, constitue le plus large affleurement du socle kabyle en Algérie. Le socle est par endroits recouvert en discordance par des dépôts détritiques (principalement des molasses conglomératiques) d’âge Oligocène supérieur–Miocène inférieur, appelés </w:t>
      </w:r>
      <w:r w:rsidRPr="00881AC7">
        <w:rPr>
          <w:rFonts w:ascii="Times New Roman" w:hAnsi="Times New Roman" w:cs="Times New Roman"/>
          <w:b/>
          <w:bCs/>
          <w:sz w:val="24"/>
          <w:szCs w:val="24"/>
        </w:rPr>
        <w:t xml:space="preserve">Oligo-Miocène Kabyle. </w:t>
      </w:r>
      <w:r w:rsidRPr="00881AC7">
        <w:rPr>
          <w:rFonts w:ascii="Times New Roman" w:hAnsi="Times New Roman" w:cs="Times New Roman"/>
          <w:sz w:val="24"/>
          <w:szCs w:val="24"/>
        </w:rPr>
        <w:t xml:space="preserve">Les massifs internes des Maghrébides ont donc constitué une zone haute de la fin du Paléozoïque à l’Oligocène supérieur. Le socle kabyle est bordé au sud par les unités mésozoïques et cénozoïques de la </w:t>
      </w:r>
      <w:r w:rsidRPr="00881AC7">
        <w:rPr>
          <w:rFonts w:ascii="Times New Roman" w:hAnsi="Times New Roman" w:cs="Times New Roman"/>
          <w:b/>
          <w:bCs/>
          <w:sz w:val="24"/>
          <w:szCs w:val="24"/>
        </w:rPr>
        <w:t xml:space="preserve">Dorsale Kabyle </w:t>
      </w:r>
      <w:r w:rsidRPr="00881AC7">
        <w:rPr>
          <w:rFonts w:ascii="Times New Roman" w:hAnsi="Times New Roman" w:cs="Times New Roman"/>
          <w:sz w:val="24"/>
          <w:szCs w:val="24"/>
        </w:rPr>
        <w:t xml:space="preserve">appelée parfois « </w:t>
      </w:r>
      <w:r w:rsidRPr="00881AC7">
        <w:rPr>
          <w:rFonts w:ascii="Times New Roman" w:hAnsi="Times New Roman" w:cs="Times New Roman"/>
          <w:b/>
          <w:bCs/>
          <w:sz w:val="24"/>
          <w:szCs w:val="24"/>
        </w:rPr>
        <w:t xml:space="preserve">chaîne calcaire </w:t>
      </w:r>
      <w:r w:rsidRPr="00881AC7">
        <w:rPr>
          <w:rFonts w:ascii="Times New Roman" w:hAnsi="Times New Roman" w:cs="Times New Roman"/>
          <w:sz w:val="24"/>
          <w:szCs w:val="24"/>
        </w:rPr>
        <w:t xml:space="preserve">» à cause de l’importance du Jurassique inférieur calcaire. Ce domaine est exceptionnellement étroit et ne dépasse jamais quelques km de largeur. Le premier affleurement de la dorsale kabyle en Algérie est situé au cap Ténès. On la retrouve ensuite dans le massif du Chenoua puis au Sud Est d’Alger où elle constitue d’importants reliefs sur plus de 125 km de long (massifs de Larba, du Bou Zegza et du Djurdjura). Elle apparaît ensuite au Nord de Constantine (Dj. Sidi Dris) et on la suit sur 90 km jusqu’au Sud d’Annaba (Zit Emba). La dorsale kabyle se présente sous forme d’écailles d’âge permo-triasiques à Eocène moyen (Lutétien). Du point de vue lithologique, ces formations comprennent des calcaires du Lias et de l’Eocène, des dolomies du Trias au Lias inférieur et des grès du Permo-Trias. La dorsale kabyle a été subdivisée du Nord au Sud en trois unités qui se différencient par le faciès et l’épaisseur des calcaires : dorsale </w:t>
      </w:r>
      <w:r w:rsidRPr="00881AC7">
        <w:rPr>
          <w:rFonts w:ascii="Times New Roman" w:hAnsi="Times New Roman" w:cs="Times New Roman"/>
          <w:b/>
          <w:bCs/>
          <w:sz w:val="24"/>
          <w:szCs w:val="24"/>
        </w:rPr>
        <w:t xml:space="preserve">interne, médiane </w:t>
      </w:r>
      <w:r w:rsidRPr="00881AC7">
        <w:rPr>
          <w:rFonts w:ascii="Times New Roman" w:hAnsi="Times New Roman" w:cs="Times New Roman"/>
          <w:sz w:val="24"/>
          <w:szCs w:val="24"/>
        </w:rPr>
        <w:t xml:space="preserve">et </w:t>
      </w:r>
      <w:r w:rsidRPr="00881AC7">
        <w:rPr>
          <w:rFonts w:ascii="Times New Roman" w:hAnsi="Times New Roman" w:cs="Times New Roman"/>
          <w:b/>
          <w:bCs/>
          <w:sz w:val="24"/>
          <w:szCs w:val="24"/>
        </w:rPr>
        <w:t xml:space="preserve">externe. </w:t>
      </w:r>
      <w:r w:rsidRPr="00881AC7">
        <w:rPr>
          <w:rFonts w:ascii="Times New Roman" w:hAnsi="Times New Roman" w:cs="Times New Roman"/>
          <w:sz w:val="24"/>
          <w:szCs w:val="24"/>
        </w:rPr>
        <w:t>En général, les faciès traduisent des conditions de sédimentation de plus en plus profondes lorsque l’on passe des formations de la dorsale interne (dépôts littoraux ou épicontinentaux) à celles de la dorsale médiane (dépôts marneux et plus profonds du Crétacé à l’Eocène) puis aux formations de la dorsale externe (qui montrent souvent des radiolarites au Dogger-Malm) (Bouillin, 1986). Du coté sud, un contact anormal sépare la Dorsale kabyle du domaine des flyschs. Les formations du domaine interne chevauchent le domaine des flyschs et le domaine externe tellien.</w:t>
      </w:r>
    </w:p>
    <w:p w:rsidR="00551AC8" w:rsidRDefault="00551AC8" w:rsidP="00551AC8">
      <w:pPr>
        <w:ind w:right="23"/>
        <w:rPr>
          <w:rFonts w:ascii="Times New Roman" w:hAnsi="Times New Roman" w:cs="Times New Roman"/>
          <w:b/>
          <w:bCs/>
          <w:sz w:val="24"/>
          <w:szCs w:val="24"/>
          <w:lang w:val="en-US"/>
        </w:rPr>
      </w:pPr>
    </w:p>
    <w:p w:rsidR="00881AC7" w:rsidRPr="00551AC8" w:rsidRDefault="00551AC8" w:rsidP="00551AC8">
      <w:pPr>
        <w:ind w:right="23"/>
        <w:rPr>
          <w:rFonts w:ascii="Times New Roman" w:hAnsi="Times New Roman" w:cs="Times New Roman"/>
          <w:b/>
          <w:bCs/>
          <w:sz w:val="24"/>
          <w:szCs w:val="24"/>
        </w:rPr>
      </w:pPr>
      <w:r>
        <w:rPr>
          <w:rFonts w:ascii="Times New Roman" w:hAnsi="Times New Roman" w:cs="Times New Roman"/>
          <w:b/>
          <w:bCs/>
          <w:noProof/>
          <w:sz w:val="24"/>
          <w:szCs w:val="24"/>
          <w:lang w:eastAsia="fr-FR"/>
        </w:rPr>
        <w:drawing>
          <wp:anchor distT="0" distB="0" distL="114300" distR="114300" simplePos="0" relativeHeight="251695104" behindDoc="0" locked="0" layoutInCell="1" allowOverlap="1">
            <wp:simplePos x="0" y="0"/>
            <wp:positionH relativeFrom="margin">
              <wp:posOffset>96520</wp:posOffset>
            </wp:positionH>
            <wp:positionV relativeFrom="margin">
              <wp:posOffset>2973705</wp:posOffset>
            </wp:positionV>
            <wp:extent cx="7798435" cy="1908810"/>
            <wp:effectExtent l="38100" t="57150" r="107315" b="91440"/>
            <wp:wrapSquare wrapText="bothSides"/>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lum bright="10000"/>
                    </a:blip>
                    <a:srcRect/>
                    <a:stretch>
                      <a:fillRect/>
                    </a:stretch>
                  </pic:blipFill>
                  <pic:spPr bwMode="auto">
                    <a:xfrm>
                      <a:off x="0" y="0"/>
                      <a:ext cx="7798435" cy="1908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bCs/>
          <w:noProof/>
          <w:sz w:val="24"/>
          <w:szCs w:val="24"/>
          <w:lang w:eastAsia="fr-FR"/>
        </w:rPr>
        <w:drawing>
          <wp:anchor distT="0" distB="0" distL="114300" distR="114300" simplePos="0" relativeHeight="251689984" behindDoc="0" locked="0" layoutInCell="1" allowOverlap="1">
            <wp:simplePos x="0" y="0"/>
            <wp:positionH relativeFrom="margin">
              <wp:posOffset>5715</wp:posOffset>
            </wp:positionH>
            <wp:positionV relativeFrom="margin">
              <wp:posOffset>-180975</wp:posOffset>
            </wp:positionV>
            <wp:extent cx="7785100" cy="2943860"/>
            <wp:effectExtent l="19050" t="0" r="6350" b="0"/>
            <wp:wrapSquare wrapText="bothSides"/>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7785100" cy="2943860"/>
                    </a:xfrm>
                    <a:prstGeom prst="rect">
                      <a:avLst/>
                    </a:prstGeom>
                    <a:noFill/>
                    <a:ln w="9525">
                      <a:noFill/>
                      <a:miter lim="800000"/>
                      <a:headEnd/>
                      <a:tailEnd/>
                    </a:ln>
                  </pic:spPr>
                </pic:pic>
              </a:graphicData>
            </a:graphic>
          </wp:anchor>
        </w:drawing>
      </w:r>
      <w:r w:rsidR="007372BB">
        <w:rPr>
          <w:rFonts w:ascii="Times New Roman" w:hAnsi="Times New Roman" w:cs="Times New Roman"/>
          <w:b/>
          <w:bCs/>
          <w:sz w:val="24"/>
          <w:szCs w:val="24"/>
        </w:rPr>
        <w:t>Figure 2</w:t>
      </w:r>
      <w:r w:rsidR="00881AC7" w:rsidRPr="00881AC7">
        <w:rPr>
          <w:rFonts w:ascii="Times New Roman" w:hAnsi="Times New Roman" w:cs="Times New Roman"/>
          <w:b/>
          <w:bCs/>
          <w:sz w:val="24"/>
          <w:szCs w:val="24"/>
        </w:rPr>
        <w:t xml:space="preserve"> : </w:t>
      </w:r>
      <w:r w:rsidR="00881AC7" w:rsidRPr="00881AC7">
        <w:rPr>
          <w:rFonts w:ascii="Times New Roman" w:hAnsi="Times New Roman" w:cs="Times New Roman"/>
          <w:sz w:val="24"/>
          <w:szCs w:val="24"/>
        </w:rPr>
        <w:t>L’orogène alpin péri-méditerranéen (d’après Durand-Delga, 1969)</w:t>
      </w:r>
    </w:p>
    <w:p w:rsidR="00881AC7" w:rsidRPr="00881AC7" w:rsidRDefault="00881AC7" w:rsidP="00881AC7">
      <w:pPr>
        <w:spacing w:before="468"/>
        <w:rPr>
          <w:rFonts w:ascii="Times New Roman" w:hAnsi="Times New Roman" w:cs="Times New Roman"/>
          <w:sz w:val="24"/>
          <w:szCs w:val="24"/>
        </w:rPr>
      </w:pPr>
      <w:r w:rsidRPr="00881AC7">
        <w:rPr>
          <w:rFonts w:ascii="Times New Roman" w:hAnsi="Times New Roman" w:cs="Times New Roman"/>
          <w:noProof/>
          <w:sz w:val="24"/>
          <w:szCs w:val="24"/>
          <w:lang w:eastAsia="fr-FR"/>
        </w:rPr>
        <w:lastRenderedPageBreak/>
        <w:drawing>
          <wp:inline distT="0" distB="0" distL="0" distR="0">
            <wp:extent cx="8718550" cy="3232150"/>
            <wp:effectExtent l="19050" t="0" r="6350" b="0"/>
            <wp:docPr id="12" name="Image 1"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2"/>
                    <pic:cNvPicPr>
                      <a:picLocks noChangeAspect="1" noChangeArrowheads="1"/>
                    </pic:cNvPicPr>
                  </pic:nvPicPr>
                  <pic:blipFill>
                    <a:blip r:embed="rId22"/>
                    <a:srcRect/>
                    <a:stretch>
                      <a:fillRect/>
                    </a:stretch>
                  </pic:blipFill>
                  <pic:spPr bwMode="auto">
                    <a:xfrm>
                      <a:off x="0" y="0"/>
                      <a:ext cx="8718550" cy="3232150"/>
                    </a:xfrm>
                    <a:prstGeom prst="rect">
                      <a:avLst/>
                    </a:prstGeom>
                    <a:noFill/>
                    <a:ln w="9525">
                      <a:noFill/>
                      <a:miter lim="800000"/>
                      <a:headEnd/>
                      <a:tailEnd/>
                    </a:ln>
                  </pic:spPr>
                </pic:pic>
              </a:graphicData>
            </a:graphic>
          </wp:inline>
        </w:drawing>
      </w:r>
    </w:p>
    <w:p w:rsidR="00881AC7" w:rsidRPr="00881AC7" w:rsidRDefault="007372BB" w:rsidP="00881AC7">
      <w:pPr>
        <w:spacing w:before="144"/>
        <w:jc w:val="center"/>
        <w:rPr>
          <w:rFonts w:ascii="Times New Roman" w:hAnsi="Times New Roman" w:cs="Times New Roman"/>
          <w:sz w:val="24"/>
          <w:szCs w:val="24"/>
        </w:rPr>
      </w:pPr>
      <w:r>
        <w:rPr>
          <w:rFonts w:ascii="Times New Roman" w:hAnsi="Times New Roman" w:cs="Times New Roman"/>
          <w:b/>
          <w:bCs/>
          <w:sz w:val="24"/>
          <w:szCs w:val="24"/>
        </w:rPr>
        <w:t>Figure 3</w:t>
      </w:r>
      <w:r w:rsidR="00881AC7" w:rsidRPr="00881AC7">
        <w:rPr>
          <w:rFonts w:ascii="Times New Roman" w:hAnsi="Times New Roman" w:cs="Times New Roman"/>
          <w:b/>
          <w:bCs/>
          <w:sz w:val="24"/>
          <w:szCs w:val="24"/>
        </w:rPr>
        <w:t xml:space="preserve"> : </w:t>
      </w:r>
      <w:r w:rsidR="00881AC7" w:rsidRPr="00881AC7">
        <w:rPr>
          <w:rFonts w:ascii="Times New Roman" w:hAnsi="Times New Roman" w:cs="Times New Roman"/>
          <w:sz w:val="24"/>
          <w:szCs w:val="24"/>
        </w:rPr>
        <w:t>Rapports structuraux entre les différentes unités de la chaîne des Maghrébides (modifiés d’après Durand-Delga, 1969, les Bibans et</w:t>
      </w:r>
      <w:r w:rsidR="00881AC7" w:rsidRPr="00881AC7">
        <w:rPr>
          <w:rFonts w:ascii="Times New Roman" w:hAnsi="Times New Roman" w:cs="Times New Roman"/>
          <w:sz w:val="24"/>
          <w:szCs w:val="24"/>
        </w:rPr>
        <w:br/>
        <w:t>les Babors qui étaient considérés comme étant de l’Autochtone font également partie des nappes telliennes)</w:t>
      </w:r>
    </w:p>
    <w:p w:rsidR="00881AC7" w:rsidRDefault="00881AC7" w:rsidP="00881AC7">
      <w:pPr>
        <w:spacing w:before="144"/>
        <w:jc w:val="center"/>
        <w:rPr>
          <w:rFonts w:ascii="Times New Roman" w:hAnsi="Times New Roman" w:cs="Times New Roman"/>
          <w:sz w:val="24"/>
          <w:szCs w:val="24"/>
        </w:rPr>
      </w:pPr>
    </w:p>
    <w:p w:rsidR="00720913" w:rsidRDefault="00720913" w:rsidP="00881AC7">
      <w:pPr>
        <w:spacing w:before="144"/>
        <w:jc w:val="center"/>
        <w:rPr>
          <w:rFonts w:ascii="Times New Roman" w:hAnsi="Times New Roman" w:cs="Times New Roman"/>
          <w:sz w:val="24"/>
          <w:szCs w:val="24"/>
        </w:rPr>
      </w:pPr>
    </w:p>
    <w:p w:rsidR="00720913" w:rsidRDefault="00720913" w:rsidP="00881AC7">
      <w:pPr>
        <w:spacing w:before="144"/>
        <w:jc w:val="center"/>
        <w:rPr>
          <w:rFonts w:ascii="Times New Roman" w:hAnsi="Times New Roman" w:cs="Times New Roman"/>
          <w:sz w:val="24"/>
          <w:szCs w:val="24"/>
        </w:rPr>
      </w:pPr>
    </w:p>
    <w:p w:rsidR="00720913" w:rsidRDefault="00720913" w:rsidP="00881AC7">
      <w:pPr>
        <w:spacing w:before="144"/>
        <w:jc w:val="center"/>
        <w:rPr>
          <w:rFonts w:ascii="Times New Roman" w:hAnsi="Times New Roman" w:cs="Times New Roman"/>
          <w:sz w:val="24"/>
          <w:szCs w:val="24"/>
        </w:rPr>
      </w:pPr>
    </w:p>
    <w:p w:rsidR="00720913" w:rsidRDefault="00720913" w:rsidP="00881AC7">
      <w:pPr>
        <w:spacing w:before="144"/>
        <w:jc w:val="center"/>
        <w:rPr>
          <w:rFonts w:ascii="Times New Roman" w:hAnsi="Times New Roman" w:cs="Times New Roman"/>
          <w:sz w:val="24"/>
          <w:szCs w:val="24"/>
        </w:rPr>
      </w:pPr>
    </w:p>
    <w:p w:rsidR="00720913" w:rsidRDefault="0065111D" w:rsidP="00881AC7">
      <w:pPr>
        <w:spacing w:before="144"/>
        <w:jc w:val="center"/>
        <w:rPr>
          <w:rFonts w:ascii="Times New Roman" w:hAnsi="Times New Roman" w:cs="Times New Roman"/>
          <w:sz w:val="24"/>
          <w:szCs w:val="24"/>
        </w:rPr>
      </w:pPr>
      <w:r w:rsidRPr="00720913">
        <w:rPr>
          <w:rFonts w:ascii="Times New Roman" w:hAnsi="Times New Roman" w:cs="Times New Roman"/>
          <w:noProof/>
          <w:sz w:val="24"/>
          <w:szCs w:val="24"/>
          <w:lang w:eastAsia="fr-FR"/>
        </w:rPr>
        <w:lastRenderedPageBreak/>
        <w:drawing>
          <wp:anchor distT="0" distB="0" distL="114300" distR="114300" simplePos="0" relativeHeight="251655680" behindDoc="0" locked="0" layoutInCell="1" allowOverlap="1">
            <wp:simplePos x="0" y="0"/>
            <wp:positionH relativeFrom="margin">
              <wp:posOffset>-166370</wp:posOffset>
            </wp:positionH>
            <wp:positionV relativeFrom="margin">
              <wp:posOffset>142875</wp:posOffset>
            </wp:positionV>
            <wp:extent cx="8172450" cy="2813685"/>
            <wp:effectExtent l="19050" t="0" r="0" b="0"/>
            <wp:wrapSquare wrapText="bothSides"/>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8172450" cy="2813685"/>
                    </a:xfrm>
                    <a:prstGeom prst="rect">
                      <a:avLst/>
                    </a:prstGeom>
                    <a:noFill/>
                    <a:ln w="9525">
                      <a:noFill/>
                      <a:miter lim="800000"/>
                      <a:headEnd/>
                      <a:tailEnd/>
                    </a:ln>
                  </pic:spPr>
                </pic:pic>
              </a:graphicData>
            </a:graphic>
          </wp:anchor>
        </w:drawing>
      </w:r>
    </w:p>
    <w:p w:rsidR="00720913" w:rsidRDefault="0065111D" w:rsidP="00881AC7">
      <w:pPr>
        <w:spacing w:before="144"/>
        <w:jc w:val="center"/>
        <w:rPr>
          <w:rFonts w:ascii="Times New Roman" w:hAnsi="Times New Roman" w:cs="Times New Roman"/>
          <w:sz w:val="24"/>
          <w:szCs w:val="24"/>
        </w:rPr>
      </w:pPr>
      <w:r w:rsidRPr="00720913">
        <w:rPr>
          <w:rFonts w:ascii="Times New Roman" w:hAnsi="Times New Roman" w:cs="Times New Roman"/>
          <w:noProof/>
          <w:sz w:val="24"/>
          <w:szCs w:val="24"/>
          <w:lang w:eastAsia="fr-FR"/>
        </w:rPr>
        <w:drawing>
          <wp:anchor distT="0" distB="0" distL="114300" distR="114300" simplePos="0" relativeHeight="251663872" behindDoc="0" locked="0" layoutInCell="1" allowOverlap="1">
            <wp:simplePos x="0" y="0"/>
            <wp:positionH relativeFrom="margin">
              <wp:posOffset>453390</wp:posOffset>
            </wp:positionH>
            <wp:positionV relativeFrom="margin">
              <wp:posOffset>3307080</wp:posOffset>
            </wp:positionV>
            <wp:extent cx="6694170" cy="2045335"/>
            <wp:effectExtent l="19050" t="0" r="0" b="0"/>
            <wp:wrapSquare wrapText="bothSides"/>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6694170" cy="2045335"/>
                    </a:xfrm>
                    <a:prstGeom prst="rect">
                      <a:avLst/>
                    </a:prstGeom>
                    <a:noFill/>
                    <a:ln w="9525">
                      <a:noFill/>
                      <a:miter lim="800000"/>
                      <a:headEnd/>
                      <a:tailEnd/>
                    </a:ln>
                  </pic:spPr>
                </pic:pic>
              </a:graphicData>
            </a:graphic>
          </wp:anchor>
        </w:drawing>
      </w:r>
    </w:p>
    <w:p w:rsidR="00720913" w:rsidRDefault="00720913" w:rsidP="00881AC7">
      <w:pPr>
        <w:spacing w:before="144"/>
        <w:jc w:val="center"/>
        <w:rPr>
          <w:rFonts w:ascii="Times New Roman" w:hAnsi="Times New Roman" w:cs="Times New Roman"/>
          <w:sz w:val="24"/>
          <w:szCs w:val="24"/>
        </w:rPr>
      </w:pPr>
    </w:p>
    <w:p w:rsidR="00720913" w:rsidRPr="00881AC7" w:rsidRDefault="00720913" w:rsidP="00881AC7">
      <w:pPr>
        <w:spacing w:before="144"/>
        <w:jc w:val="center"/>
        <w:rPr>
          <w:rFonts w:ascii="Times New Roman" w:hAnsi="Times New Roman" w:cs="Times New Roman"/>
          <w:sz w:val="24"/>
          <w:szCs w:val="24"/>
        </w:rPr>
        <w:sectPr w:rsidR="00720913" w:rsidRPr="00881AC7" w:rsidSect="009826A1">
          <w:pgSz w:w="16843" w:h="11904" w:orient="landscape"/>
          <w:pgMar w:top="1440" w:right="6070" w:bottom="1110" w:left="1397" w:header="720" w:footer="720" w:gutter="0"/>
          <w:pgBorders w:offsetFrom="page">
            <w:top w:val="double" w:sz="4" w:space="24" w:color="auto"/>
            <w:left w:val="double" w:sz="4" w:space="24" w:color="auto"/>
            <w:bottom w:val="double" w:sz="4" w:space="24" w:color="auto"/>
            <w:right w:val="double" w:sz="4" w:space="24" w:color="auto"/>
          </w:pgBorders>
          <w:cols w:space="720"/>
          <w:noEndnote/>
        </w:sectPr>
      </w:pPr>
      <w:r w:rsidRPr="00720913">
        <w:rPr>
          <w:rFonts w:ascii="Times New Roman" w:hAnsi="Times New Roman" w:cs="Times New Roman"/>
          <w:noProof/>
          <w:sz w:val="24"/>
          <w:szCs w:val="24"/>
          <w:lang w:eastAsia="fr-FR"/>
        </w:rPr>
        <w:drawing>
          <wp:anchor distT="0" distB="0" distL="114300" distR="114300" simplePos="0" relativeHeight="251664896" behindDoc="0" locked="0" layoutInCell="1" allowOverlap="1">
            <wp:simplePos x="909387" y="1564105"/>
            <wp:positionH relativeFrom="margin">
              <wp:align>center</wp:align>
            </wp:positionH>
            <wp:positionV relativeFrom="margin">
              <wp:align>bottom</wp:align>
            </wp:positionV>
            <wp:extent cx="4745455" cy="288758"/>
            <wp:effectExtent l="19050" t="0" r="0" b="0"/>
            <wp:wrapSquare wrapText="bothSides"/>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4745455" cy="288758"/>
                    </a:xfrm>
                    <a:prstGeom prst="rect">
                      <a:avLst/>
                    </a:prstGeom>
                    <a:noFill/>
                    <a:ln w="9525">
                      <a:noFill/>
                      <a:miter lim="800000"/>
                      <a:headEnd/>
                      <a:tailEnd/>
                    </a:ln>
                  </pic:spPr>
                </pic:pic>
              </a:graphicData>
            </a:graphic>
          </wp:anchor>
        </w:drawing>
      </w:r>
    </w:p>
    <w:p w:rsidR="00881AC7" w:rsidRPr="00720913" w:rsidRDefault="00881AC7" w:rsidP="00720913">
      <w:pPr>
        <w:widowControl w:val="0"/>
        <w:numPr>
          <w:ilvl w:val="0"/>
          <w:numId w:val="1"/>
        </w:numPr>
        <w:autoSpaceDE w:val="0"/>
        <w:autoSpaceDN w:val="0"/>
        <w:spacing w:after="0" w:line="240" w:lineRule="auto"/>
        <w:jc w:val="both"/>
        <w:rPr>
          <w:rFonts w:ascii="Times New Roman" w:hAnsi="Times New Roman" w:cs="Times New Roman"/>
          <w:sz w:val="24"/>
          <w:szCs w:val="24"/>
        </w:rPr>
      </w:pPr>
      <w:r w:rsidRPr="00720913">
        <w:rPr>
          <w:rFonts w:ascii="Times New Roman" w:hAnsi="Times New Roman" w:cs="Times New Roman"/>
          <w:b/>
          <w:bCs/>
          <w:sz w:val="24"/>
          <w:szCs w:val="24"/>
        </w:rPr>
        <w:lastRenderedPageBreak/>
        <w:t xml:space="preserve">le domaine des flyschs : </w:t>
      </w:r>
      <w:r w:rsidRPr="00720913">
        <w:rPr>
          <w:rFonts w:ascii="Times New Roman" w:hAnsi="Times New Roman" w:cs="Times New Roman"/>
          <w:sz w:val="24"/>
          <w:szCs w:val="24"/>
        </w:rPr>
        <w:t>est constitué par des nappes de flyschs crétacés-paléogènes qui affleurent dans les zones littorales sur 800 km de long, entre Mostaganem et Bizerte (Tunisie). Il s’agit essentiellement de dépôts de mer profonde mis en place par des courants de turbidités. Ces flyschs se présentent de trois manières : (i) en position interne, superposés aux massifs kabyles, c’est-à-dire rétrocharriées sur les zones internes, et appelés flyschsnord</w:t>
      </w:r>
      <w:r w:rsidRPr="00720913">
        <w:rPr>
          <w:rFonts w:ascii="Times New Roman" w:hAnsi="Times New Roman" w:cs="Times New Roman"/>
          <w:sz w:val="24"/>
          <w:szCs w:val="24"/>
        </w:rPr>
        <w:softHyphen/>
        <w:t>kabyles ; (ii) en position relativement externe à la bordure sud de la Dorsale kabyle (flyschs sud-kabyle) et enfin (iii) en position très externe, sous forme de masse isolées flottant sur leTell</w:t>
      </w:r>
      <w:r w:rsidR="00CF3028" w:rsidRPr="00720913">
        <w:rPr>
          <w:rFonts w:ascii="Times New Roman" w:hAnsi="Times New Roman" w:cs="Times New Roman"/>
          <w:sz w:val="24"/>
          <w:szCs w:val="24"/>
        </w:rPr>
        <w:t xml:space="preserve">et </w:t>
      </w:r>
      <w:r w:rsidRPr="00720913">
        <w:rPr>
          <w:rFonts w:ascii="Times New Roman" w:hAnsi="Times New Roman" w:cs="Times New Roman"/>
          <w:sz w:val="24"/>
          <w:szCs w:val="24"/>
        </w:rPr>
        <w:t>charriées jusqu’à une centaine de kilomètres au sud.</w:t>
      </w:r>
    </w:p>
    <w:p w:rsidR="00881AC7" w:rsidRPr="00881AC7" w:rsidRDefault="00881AC7" w:rsidP="00881AC7">
      <w:pPr>
        <w:ind w:left="1512"/>
        <w:rPr>
          <w:rFonts w:ascii="Times New Roman" w:hAnsi="Times New Roman" w:cs="Times New Roman"/>
          <w:sz w:val="24"/>
          <w:szCs w:val="24"/>
        </w:rPr>
      </w:pPr>
      <w:r w:rsidRPr="00881AC7">
        <w:rPr>
          <w:rFonts w:ascii="Times New Roman" w:hAnsi="Times New Roman" w:cs="Times New Roman"/>
          <w:noProof/>
          <w:sz w:val="24"/>
          <w:szCs w:val="24"/>
          <w:lang w:eastAsia="fr-FR"/>
        </w:rPr>
        <w:drawing>
          <wp:inline distT="0" distB="0" distL="0" distR="0">
            <wp:extent cx="4625340" cy="1562735"/>
            <wp:effectExtent l="19050" t="0" r="3810" b="0"/>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4625340" cy="1562735"/>
                    </a:xfrm>
                    <a:prstGeom prst="rect">
                      <a:avLst/>
                    </a:prstGeom>
                    <a:noFill/>
                    <a:ln w="9525">
                      <a:noFill/>
                      <a:miter lim="800000"/>
                      <a:headEnd/>
                      <a:tailEnd/>
                    </a:ln>
                  </pic:spPr>
                </pic:pic>
              </a:graphicData>
            </a:graphic>
          </wp:inline>
        </w:drawing>
      </w:r>
    </w:p>
    <w:p w:rsidR="00881AC7" w:rsidRPr="00881AC7" w:rsidRDefault="00881AC7" w:rsidP="00881AC7">
      <w:pPr>
        <w:spacing w:before="72"/>
        <w:ind w:left="3888" w:right="360" w:hanging="2880"/>
        <w:rPr>
          <w:rFonts w:ascii="Times New Roman" w:hAnsi="Times New Roman" w:cs="Times New Roman"/>
          <w:sz w:val="24"/>
          <w:szCs w:val="24"/>
        </w:rPr>
      </w:pPr>
      <w:r w:rsidRPr="00881AC7">
        <w:rPr>
          <w:rFonts w:ascii="Times New Roman" w:hAnsi="Times New Roman" w:cs="Times New Roman"/>
          <w:b/>
          <w:bCs/>
          <w:sz w:val="24"/>
          <w:szCs w:val="24"/>
        </w:rPr>
        <w:t xml:space="preserve">Figure </w:t>
      </w:r>
      <w:r w:rsidR="007372BB">
        <w:rPr>
          <w:rFonts w:ascii="Times New Roman" w:hAnsi="Times New Roman" w:cs="Times New Roman"/>
          <w:b/>
          <w:bCs/>
          <w:sz w:val="24"/>
          <w:szCs w:val="24"/>
        </w:rPr>
        <w:t>4</w:t>
      </w:r>
      <w:r w:rsidRPr="00881AC7">
        <w:rPr>
          <w:rFonts w:ascii="Times New Roman" w:hAnsi="Times New Roman" w:cs="Times New Roman"/>
          <w:b/>
          <w:bCs/>
          <w:sz w:val="24"/>
          <w:szCs w:val="24"/>
        </w:rPr>
        <w:t xml:space="preserve"> : </w:t>
      </w:r>
      <w:r w:rsidRPr="00881AC7">
        <w:rPr>
          <w:rFonts w:ascii="Times New Roman" w:hAnsi="Times New Roman" w:cs="Times New Roman"/>
          <w:sz w:val="24"/>
          <w:szCs w:val="24"/>
        </w:rPr>
        <w:t>Position des nappes de flyschs par rapport aux unités de la chaîne des Maghrébides</w:t>
      </w:r>
    </w:p>
    <w:p w:rsidR="00881AC7" w:rsidRPr="00881AC7" w:rsidRDefault="00881AC7" w:rsidP="00881AC7">
      <w:pPr>
        <w:jc w:val="both"/>
        <w:rPr>
          <w:rFonts w:ascii="Times New Roman" w:hAnsi="Times New Roman" w:cs="Times New Roman"/>
          <w:sz w:val="24"/>
          <w:szCs w:val="24"/>
        </w:rPr>
      </w:pPr>
    </w:p>
    <w:p w:rsidR="00881AC7" w:rsidRPr="00881AC7" w:rsidRDefault="00881AC7" w:rsidP="00757CA2">
      <w:pPr>
        <w:spacing w:after="120"/>
        <w:ind w:firstLine="720"/>
        <w:jc w:val="both"/>
        <w:rPr>
          <w:rFonts w:ascii="Times New Roman" w:hAnsi="Times New Roman" w:cs="Times New Roman"/>
          <w:sz w:val="24"/>
          <w:szCs w:val="24"/>
        </w:rPr>
      </w:pPr>
      <w:r w:rsidRPr="00881AC7">
        <w:rPr>
          <w:rFonts w:ascii="Times New Roman" w:hAnsi="Times New Roman" w:cs="Times New Roman"/>
          <w:sz w:val="24"/>
          <w:szCs w:val="24"/>
        </w:rPr>
        <w:t>On distingue du Nord au Sud deux grands groupes de flyschs, les flyschsmaurétaniens et les flyschsmassyliens auxquels s’ajoutent un troisième groupe de flyschs plus récent, les flyschs numidiens d’âge Oligocène supérieur – Burdigalien inférieur.</w:t>
      </w:r>
    </w:p>
    <w:p w:rsidR="00881AC7" w:rsidRPr="00881AC7" w:rsidRDefault="00881AC7" w:rsidP="00757CA2">
      <w:pPr>
        <w:spacing w:after="120"/>
        <w:ind w:firstLine="720"/>
        <w:jc w:val="both"/>
        <w:rPr>
          <w:rFonts w:ascii="Times New Roman" w:hAnsi="Times New Roman" w:cs="Times New Roman"/>
          <w:sz w:val="24"/>
          <w:szCs w:val="24"/>
        </w:rPr>
      </w:pPr>
      <w:r w:rsidRPr="00881AC7">
        <w:rPr>
          <w:rFonts w:ascii="Times New Roman" w:hAnsi="Times New Roman" w:cs="Times New Roman"/>
          <w:b/>
          <w:bCs/>
          <w:sz w:val="24"/>
          <w:szCs w:val="24"/>
        </w:rPr>
        <w:t>2.1. les</w:t>
      </w:r>
      <w:r w:rsidR="00D67DF9">
        <w:rPr>
          <w:rFonts w:ascii="Times New Roman" w:hAnsi="Times New Roman" w:cs="Times New Roman"/>
          <w:b/>
          <w:bCs/>
          <w:sz w:val="24"/>
          <w:szCs w:val="24"/>
        </w:rPr>
        <w:t xml:space="preserve"> </w:t>
      </w:r>
      <w:r w:rsidRPr="00881AC7">
        <w:rPr>
          <w:rFonts w:ascii="Times New Roman" w:hAnsi="Times New Roman" w:cs="Times New Roman"/>
          <w:b/>
          <w:bCs/>
          <w:sz w:val="24"/>
          <w:szCs w:val="24"/>
        </w:rPr>
        <w:t>flyschs</w:t>
      </w:r>
      <w:r w:rsidR="00D67DF9">
        <w:rPr>
          <w:rFonts w:ascii="Times New Roman" w:hAnsi="Times New Roman" w:cs="Times New Roman"/>
          <w:b/>
          <w:bCs/>
          <w:sz w:val="24"/>
          <w:szCs w:val="24"/>
        </w:rPr>
        <w:t xml:space="preserve"> </w:t>
      </w:r>
      <w:r w:rsidRPr="00881AC7">
        <w:rPr>
          <w:rFonts w:ascii="Times New Roman" w:hAnsi="Times New Roman" w:cs="Times New Roman"/>
          <w:b/>
          <w:bCs/>
          <w:sz w:val="24"/>
          <w:szCs w:val="24"/>
        </w:rPr>
        <w:t xml:space="preserve">maurétaniens : </w:t>
      </w:r>
      <w:r w:rsidRPr="00881AC7">
        <w:rPr>
          <w:rFonts w:ascii="Times New Roman" w:hAnsi="Times New Roman" w:cs="Times New Roman"/>
          <w:sz w:val="24"/>
          <w:szCs w:val="24"/>
        </w:rPr>
        <w:t>sont relativement épais et occupent une position interne dans le domaine des flyschs. Ils sont composés d’alternances de bancs argileux, calcaires et gréseux. La série débute pas des radiolarites rouges du Dogger-Malm et se termine par des niveaux conglomératiques du Paléocène.</w:t>
      </w:r>
    </w:p>
    <w:p w:rsidR="00881AC7" w:rsidRPr="00881AC7" w:rsidRDefault="00881AC7" w:rsidP="00757CA2">
      <w:pPr>
        <w:spacing w:after="120"/>
        <w:ind w:firstLine="720"/>
        <w:jc w:val="both"/>
        <w:rPr>
          <w:rFonts w:ascii="Times New Roman" w:hAnsi="Times New Roman" w:cs="Times New Roman"/>
          <w:sz w:val="24"/>
          <w:szCs w:val="24"/>
        </w:rPr>
      </w:pPr>
      <w:r w:rsidRPr="00881AC7">
        <w:rPr>
          <w:rFonts w:ascii="Times New Roman" w:hAnsi="Times New Roman" w:cs="Times New Roman"/>
          <w:b/>
          <w:bCs/>
          <w:sz w:val="24"/>
          <w:szCs w:val="24"/>
        </w:rPr>
        <w:t>2.2. les</w:t>
      </w:r>
      <w:r w:rsidR="00D67DF9">
        <w:rPr>
          <w:rFonts w:ascii="Times New Roman" w:hAnsi="Times New Roman" w:cs="Times New Roman"/>
          <w:b/>
          <w:bCs/>
          <w:sz w:val="24"/>
          <w:szCs w:val="24"/>
        </w:rPr>
        <w:t xml:space="preserve"> </w:t>
      </w:r>
      <w:r w:rsidRPr="00881AC7">
        <w:rPr>
          <w:rFonts w:ascii="Times New Roman" w:hAnsi="Times New Roman" w:cs="Times New Roman"/>
          <w:b/>
          <w:bCs/>
          <w:sz w:val="24"/>
          <w:szCs w:val="24"/>
        </w:rPr>
        <w:t>flyschs</w:t>
      </w:r>
      <w:r w:rsidR="00D67DF9">
        <w:rPr>
          <w:rFonts w:ascii="Times New Roman" w:hAnsi="Times New Roman" w:cs="Times New Roman"/>
          <w:b/>
          <w:bCs/>
          <w:sz w:val="24"/>
          <w:szCs w:val="24"/>
        </w:rPr>
        <w:t xml:space="preserve"> </w:t>
      </w:r>
      <w:r w:rsidRPr="00881AC7">
        <w:rPr>
          <w:rFonts w:ascii="Times New Roman" w:hAnsi="Times New Roman" w:cs="Times New Roman"/>
          <w:b/>
          <w:bCs/>
          <w:sz w:val="24"/>
          <w:szCs w:val="24"/>
        </w:rPr>
        <w:t xml:space="preserve">massyliens : </w:t>
      </w:r>
      <w:r w:rsidRPr="00881AC7">
        <w:rPr>
          <w:rFonts w:ascii="Times New Roman" w:hAnsi="Times New Roman" w:cs="Times New Roman"/>
          <w:sz w:val="24"/>
          <w:szCs w:val="24"/>
        </w:rPr>
        <w:t>occupent une position externe dans le domaine des flyschs et comportent une série pélito-quartzitique d’âge Crétacé inférieur surmontée par une série pélito-micro-bréchique d’âge Crétacé supérieur.</w:t>
      </w:r>
    </w:p>
    <w:p w:rsidR="00881AC7" w:rsidRPr="00881AC7" w:rsidRDefault="00881AC7" w:rsidP="00700036">
      <w:pPr>
        <w:spacing w:after="120"/>
        <w:ind w:firstLine="720"/>
        <w:jc w:val="both"/>
        <w:rPr>
          <w:rFonts w:ascii="Times New Roman" w:hAnsi="Times New Roman" w:cs="Times New Roman"/>
          <w:sz w:val="24"/>
          <w:szCs w:val="24"/>
        </w:rPr>
      </w:pPr>
      <w:r w:rsidRPr="00881AC7">
        <w:rPr>
          <w:rFonts w:ascii="Times New Roman" w:hAnsi="Times New Roman" w:cs="Times New Roman"/>
          <w:b/>
          <w:bCs/>
          <w:sz w:val="24"/>
          <w:szCs w:val="24"/>
        </w:rPr>
        <w:t xml:space="preserve">2.3. les flyschs numidiens : </w:t>
      </w:r>
      <w:r w:rsidRPr="00881AC7">
        <w:rPr>
          <w:rFonts w:ascii="Times New Roman" w:hAnsi="Times New Roman" w:cs="Times New Roman"/>
          <w:sz w:val="24"/>
          <w:szCs w:val="24"/>
        </w:rPr>
        <w:t>constitués de niveaux gréseux d’âge Oligocène terminal– Aquitanien épais de plusieurs centaine de mètres qui reposent sur des argilites versicolores oligocènes. Ces flyschs reposent anormalement à la fois sur les zones internes et sur les zones externes.</w:t>
      </w:r>
    </w:p>
    <w:p w:rsidR="00881AC7" w:rsidRPr="00881AC7" w:rsidRDefault="00881AC7" w:rsidP="00700036">
      <w:pPr>
        <w:widowControl w:val="0"/>
        <w:numPr>
          <w:ilvl w:val="0"/>
          <w:numId w:val="1"/>
        </w:numPr>
        <w:autoSpaceDE w:val="0"/>
        <w:autoSpaceDN w:val="0"/>
        <w:spacing w:after="120" w:line="240" w:lineRule="auto"/>
        <w:jc w:val="both"/>
        <w:rPr>
          <w:rFonts w:ascii="Times New Roman" w:hAnsi="Times New Roman" w:cs="Times New Roman"/>
          <w:sz w:val="24"/>
          <w:szCs w:val="24"/>
        </w:rPr>
      </w:pPr>
      <w:r w:rsidRPr="00881AC7">
        <w:rPr>
          <w:rFonts w:ascii="Times New Roman" w:hAnsi="Times New Roman" w:cs="Times New Roman"/>
          <w:b/>
          <w:bCs/>
          <w:sz w:val="24"/>
          <w:szCs w:val="24"/>
        </w:rPr>
        <w:t xml:space="preserve">un domaine externe : </w:t>
      </w:r>
      <w:r w:rsidRPr="00881AC7">
        <w:rPr>
          <w:rFonts w:ascii="Times New Roman" w:hAnsi="Times New Roman" w:cs="Times New Roman"/>
          <w:sz w:val="24"/>
          <w:szCs w:val="24"/>
        </w:rPr>
        <w:t xml:space="preserve">ou domaine tellien constitué par un ensemble de nappes allochtones pelliculaires constituées principalement de marnes d’âge Crétacé moyen à Néogène et qui ont été charriées sur une centaine de km vers le Sud. On distingue du Nord au Sud : (i) les nappes </w:t>
      </w:r>
      <w:r w:rsidRPr="00881AC7">
        <w:rPr>
          <w:rFonts w:ascii="Times New Roman" w:hAnsi="Times New Roman" w:cs="Times New Roman"/>
          <w:b/>
          <w:bCs/>
          <w:sz w:val="24"/>
          <w:szCs w:val="24"/>
        </w:rPr>
        <w:t xml:space="preserve">ultra-telliennes, </w:t>
      </w:r>
      <w:r w:rsidRPr="00881AC7">
        <w:rPr>
          <w:rFonts w:ascii="Times New Roman" w:hAnsi="Times New Roman" w:cs="Times New Roman"/>
          <w:sz w:val="24"/>
          <w:szCs w:val="24"/>
        </w:rPr>
        <w:t xml:space="preserve">aux formations du Crétacé et de l’Eocène et une série plus détritique au Sénonien et a l’Eocène, ne sont connues que dans l’Est algérien et en Tunisie. Elles présentent des caractères proches de ceux du flysch massylien. (ii) les nappes </w:t>
      </w:r>
      <w:r w:rsidRPr="00881AC7">
        <w:rPr>
          <w:rFonts w:ascii="Times New Roman" w:hAnsi="Times New Roman" w:cs="Times New Roman"/>
          <w:b/>
          <w:bCs/>
          <w:sz w:val="24"/>
          <w:szCs w:val="24"/>
        </w:rPr>
        <w:t xml:space="preserve">telliennes </w:t>
      </w:r>
      <w:r w:rsidRPr="00881AC7">
        <w:rPr>
          <w:rFonts w:ascii="Times New Roman" w:hAnsi="Times New Roman" w:cs="Times New Roman"/>
          <w:sz w:val="24"/>
          <w:szCs w:val="24"/>
        </w:rPr>
        <w:t xml:space="preserve">sensu-stricto formées de Lias de plate-forme surmonté de Jurassique plus marneux, puis par le Crétacé qui, détritique, devient marneux a argilo-calcaire et enfin, l’Eocène aux marnes épaisses et les (iii) nappes </w:t>
      </w:r>
      <w:r w:rsidRPr="00881AC7">
        <w:rPr>
          <w:rFonts w:ascii="Times New Roman" w:hAnsi="Times New Roman" w:cs="Times New Roman"/>
          <w:b/>
          <w:bCs/>
          <w:sz w:val="24"/>
          <w:szCs w:val="24"/>
        </w:rPr>
        <w:t xml:space="preserve">péni-telliennes </w:t>
      </w:r>
      <w:r w:rsidRPr="00881AC7">
        <w:rPr>
          <w:rFonts w:ascii="Times New Roman" w:hAnsi="Times New Roman" w:cs="Times New Roman"/>
          <w:sz w:val="24"/>
          <w:szCs w:val="24"/>
        </w:rPr>
        <w:t>dont les séries néritiques du Crétacé à l’Oligocène sont carbonatées et marneuses. Les nappes péni-telliennes, définies dans l’Est algérien, présentent des caractères proches de ceux du néritique constantinois.</w:t>
      </w:r>
    </w:p>
    <w:p w:rsidR="00881AC7" w:rsidRPr="00881AC7" w:rsidRDefault="00881AC7" w:rsidP="00881AC7">
      <w:pPr>
        <w:jc w:val="both"/>
        <w:rPr>
          <w:rFonts w:ascii="Times New Roman" w:hAnsi="Times New Roman" w:cs="Times New Roman"/>
          <w:sz w:val="24"/>
          <w:szCs w:val="24"/>
        </w:rPr>
        <w:sectPr w:rsidR="00881AC7" w:rsidRPr="00881AC7" w:rsidSect="00A41AF0">
          <w:pgSz w:w="11904" w:h="16843"/>
          <w:pgMar w:top="1390" w:right="1264" w:bottom="801" w:left="1327" w:header="720" w:footer="720" w:gutter="0"/>
          <w:pgBorders w:offsetFrom="page">
            <w:top w:val="double" w:sz="4" w:space="24" w:color="auto"/>
            <w:left w:val="double" w:sz="4" w:space="24" w:color="auto"/>
            <w:bottom w:val="double" w:sz="4" w:space="24" w:color="auto"/>
            <w:right w:val="double" w:sz="4" w:space="24" w:color="auto"/>
          </w:pgBorders>
          <w:cols w:space="720"/>
          <w:noEndnote/>
        </w:sectPr>
      </w:pPr>
    </w:p>
    <w:p w:rsidR="00881AC7" w:rsidRDefault="005F07BC" w:rsidP="00B25569">
      <w:pPr>
        <w:ind w:right="72"/>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anchor distT="0" distB="0" distL="114300" distR="114300" simplePos="0" relativeHeight="251686912" behindDoc="0" locked="0" layoutInCell="1" allowOverlap="1">
            <wp:simplePos x="0" y="0"/>
            <wp:positionH relativeFrom="margin">
              <wp:align>center</wp:align>
            </wp:positionH>
            <wp:positionV relativeFrom="margin">
              <wp:posOffset>2513330</wp:posOffset>
            </wp:positionV>
            <wp:extent cx="7033895" cy="2944495"/>
            <wp:effectExtent l="19050" t="0" r="0" b="0"/>
            <wp:wrapSquare wrapText="bothSides"/>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a:srcRect/>
                    <a:stretch>
                      <a:fillRect/>
                    </a:stretch>
                  </pic:blipFill>
                  <pic:spPr bwMode="auto">
                    <a:xfrm>
                      <a:off x="0" y="0"/>
                      <a:ext cx="7033895" cy="2944495"/>
                    </a:xfrm>
                    <a:prstGeom prst="rect">
                      <a:avLst/>
                    </a:prstGeom>
                    <a:noFill/>
                    <a:ln w="9525">
                      <a:noFill/>
                      <a:miter lim="800000"/>
                      <a:headEnd/>
                      <a:tailEnd/>
                    </a:ln>
                  </pic:spPr>
                </pic:pic>
              </a:graphicData>
            </a:graphic>
          </wp:anchor>
        </w:drawing>
      </w:r>
      <w:r w:rsidR="00165FA0">
        <w:rPr>
          <w:rFonts w:ascii="Times New Roman" w:hAnsi="Times New Roman" w:cs="Times New Roman"/>
          <w:noProof/>
          <w:sz w:val="24"/>
          <w:szCs w:val="24"/>
        </w:rPr>
        <w:pict>
          <v:shape id="_x0000_s1029" type="#_x0000_t202" style="position:absolute;left:0;text-align:left;margin-left:0;margin-top:722.4pt;width:464.05pt;height:15.5pt;z-index:251675648;mso-wrap-edited:f;mso-wrap-distance-left:0;mso-wrap-distance-right:0;mso-position-horizontal-relative:text;mso-position-vertical-relative:text" wrapcoords="-62 0 -62 21600 21662 21600 21662 0 -62 0" o:allowincell="f" filled="f" stroked="f">
            <v:textbox inset="0,0,0,0">
              <w:txbxContent>
                <w:p w:rsidR="00881AC7" w:rsidRDefault="00881AC7" w:rsidP="00881AC7">
                  <w:pPr>
                    <w:jc w:val="center"/>
                  </w:pPr>
                </w:p>
              </w:txbxContent>
            </v:textbox>
            <w10:wrap type="through"/>
          </v:shape>
        </w:pict>
      </w:r>
      <w:r w:rsidR="00881AC7" w:rsidRPr="00881AC7">
        <w:rPr>
          <w:rFonts w:ascii="Times New Roman" w:hAnsi="Times New Roman" w:cs="Times New Roman"/>
          <w:sz w:val="24"/>
          <w:szCs w:val="24"/>
        </w:rPr>
        <w:t xml:space="preserve">Dans le domaine externe existe des unités encore plus externes et d’allochtonie notable qu’on appelle séries de l’avant-pays allochtone ou tellien et se placent entre les nappes telliens au Nord et l’autochtone ou para-autochtone atlasique au Sud. On distingue ainsi d’ouest en est : (i) </w:t>
      </w:r>
      <w:r w:rsidR="00881AC7" w:rsidRPr="00881AC7">
        <w:rPr>
          <w:rFonts w:ascii="Times New Roman" w:hAnsi="Times New Roman" w:cs="Times New Roman"/>
          <w:b/>
          <w:bCs/>
          <w:sz w:val="24"/>
          <w:szCs w:val="24"/>
        </w:rPr>
        <w:t>l’ensemble allochtone sud-</w:t>
      </w:r>
      <w:r w:rsidR="00801DD3" w:rsidRPr="00881AC7">
        <w:rPr>
          <w:rFonts w:ascii="Times New Roman" w:hAnsi="Times New Roman" w:cs="Times New Roman"/>
          <w:b/>
          <w:bCs/>
          <w:sz w:val="24"/>
          <w:szCs w:val="24"/>
        </w:rPr>
        <w:t>sétifien</w:t>
      </w:r>
      <w:r w:rsidR="00801DD3" w:rsidRPr="00881AC7">
        <w:rPr>
          <w:rFonts w:ascii="Times New Roman" w:hAnsi="Times New Roman" w:cs="Times New Roman"/>
          <w:sz w:val="24"/>
          <w:szCs w:val="24"/>
        </w:rPr>
        <w:t xml:space="preserve"> (figure </w:t>
      </w:r>
      <w:r w:rsidR="00801DD3">
        <w:rPr>
          <w:rFonts w:ascii="Times New Roman" w:hAnsi="Times New Roman" w:cs="Times New Roman"/>
          <w:sz w:val="24"/>
          <w:szCs w:val="24"/>
        </w:rPr>
        <w:t>5</w:t>
      </w:r>
      <w:r w:rsidR="00801DD3" w:rsidRPr="00881AC7">
        <w:rPr>
          <w:rFonts w:ascii="Times New Roman" w:hAnsi="Times New Roman" w:cs="Times New Roman"/>
          <w:sz w:val="24"/>
          <w:szCs w:val="24"/>
        </w:rPr>
        <w:t>).</w:t>
      </w:r>
      <w:r w:rsidR="00881AC7" w:rsidRPr="00881AC7">
        <w:rPr>
          <w:rFonts w:ascii="Times New Roman" w:hAnsi="Times New Roman" w:cs="Times New Roman"/>
          <w:sz w:val="24"/>
          <w:szCs w:val="24"/>
        </w:rPr>
        <w:t xml:space="preserve">(séries des Djebels Guergour, Anini, Zdimm, Youssef, Braou, Tnoutit, Sékirine, Tafourer, Agmérouel, Zana, Azraouat, Hammam, Ain el Ahdjar, KoudiatTella et série supérieure du Djebel Kalaoun) à matériel carbonaté et marneux du Jurassique au Miocène, et qui apparaît plus à l’ouest dans la fenêtre des Azerou dans la région des Biban. Il se présente sous la forme d’un vaste empilement d’écailles limité par des accidents cisaillant (ii) la « </w:t>
      </w:r>
      <w:r w:rsidR="00881AC7" w:rsidRPr="00881AC7">
        <w:rPr>
          <w:rFonts w:ascii="Times New Roman" w:hAnsi="Times New Roman" w:cs="Times New Roman"/>
          <w:b/>
          <w:bCs/>
          <w:sz w:val="24"/>
          <w:szCs w:val="24"/>
        </w:rPr>
        <w:t xml:space="preserve">nappe néritique constantinoise </w:t>
      </w:r>
      <w:r w:rsidR="00881AC7" w:rsidRPr="00881AC7">
        <w:rPr>
          <w:rFonts w:ascii="Times New Roman" w:hAnsi="Times New Roman" w:cs="Times New Roman"/>
          <w:sz w:val="24"/>
          <w:szCs w:val="24"/>
        </w:rPr>
        <w:t xml:space="preserve">», à matériel carbonaté épais et massif du Jurassique–Crétacé, et, plus au sud, (iii) l’unité des « </w:t>
      </w:r>
      <w:r w:rsidR="00881AC7" w:rsidRPr="00881AC7">
        <w:rPr>
          <w:rFonts w:ascii="Times New Roman" w:hAnsi="Times New Roman" w:cs="Times New Roman"/>
          <w:b/>
          <w:bCs/>
          <w:sz w:val="24"/>
          <w:szCs w:val="24"/>
        </w:rPr>
        <w:t>écailles des Sellaoua</w:t>
      </w:r>
      <w:r w:rsidR="00881AC7" w:rsidRPr="00881AC7">
        <w:rPr>
          <w:rFonts w:ascii="Times New Roman" w:hAnsi="Times New Roman" w:cs="Times New Roman"/>
          <w:sz w:val="24"/>
          <w:szCs w:val="24"/>
        </w:rPr>
        <w:t>»</w:t>
      </w:r>
      <w:r w:rsidR="00801DD3" w:rsidRPr="00881AC7">
        <w:rPr>
          <w:rFonts w:ascii="Times New Roman" w:hAnsi="Times New Roman" w:cs="Times New Roman"/>
          <w:sz w:val="24"/>
          <w:szCs w:val="24"/>
        </w:rPr>
        <w:t xml:space="preserve">(figure </w:t>
      </w:r>
      <w:r w:rsidR="00801DD3">
        <w:rPr>
          <w:rFonts w:ascii="Times New Roman" w:hAnsi="Times New Roman" w:cs="Times New Roman"/>
          <w:sz w:val="24"/>
          <w:szCs w:val="24"/>
        </w:rPr>
        <w:t>6</w:t>
      </w:r>
      <w:r w:rsidR="00801DD3" w:rsidRPr="00881AC7">
        <w:rPr>
          <w:rFonts w:ascii="Times New Roman" w:hAnsi="Times New Roman" w:cs="Times New Roman"/>
          <w:sz w:val="24"/>
          <w:szCs w:val="24"/>
        </w:rPr>
        <w:t>).</w:t>
      </w:r>
      <w:r w:rsidR="00881AC7" w:rsidRPr="00881AC7">
        <w:rPr>
          <w:rFonts w:ascii="Times New Roman" w:hAnsi="Times New Roman" w:cs="Times New Roman"/>
          <w:sz w:val="24"/>
          <w:szCs w:val="24"/>
        </w:rPr>
        <w:t>, dont le Crétacé possède des faciès de bassin.</w:t>
      </w:r>
    </w:p>
    <w:p w:rsidR="00C77BDB" w:rsidRPr="00C77BDB" w:rsidRDefault="00C77BDB" w:rsidP="00325D1B">
      <w:pPr>
        <w:autoSpaceDE w:val="0"/>
        <w:autoSpaceDN w:val="0"/>
        <w:adjustRightInd w:val="0"/>
        <w:spacing w:after="0" w:line="240" w:lineRule="auto"/>
        <w:rPr>
          <w:rFonts w:ascii="Times New Roman" w:hAnsi="Times New Roman" w:cs="Times New Roman"/>
          <w:b/>
          <w:sz w:val="24"/>
          <w:szCs w:val="24"/>
        </w:rPr>
      </w:pPr>
    </w:p>
    <w:p w:rsidR="005F07BC" w:rsidRPr="00C77BDB" w:rsidRDefault="00325D1B" w:rsidP="00325D1B">
      <w:pPr>
        <w:autoSpaceDE w:val="0"/>
        <w:autoSpaceDN w:val="0"/>
        <w:adjustRightInd w:val="0"/>
        <w:spacing w:after="0" w:line="240" w:lineRule="auto"/>
        <w:rPr>
          <w:rFonts w:ascii="Times New Roman" w:hAnsi="Times New Roman" w:cs="Times New Roman"/>
          <w:b/>
          <w:sz w:val="24"/>
          <w:szCs w:val="24"/>
        </w:rPr>
      </w:pPr>
      <w:r w:rsidRPr="00C77BDB">
        <w:rPr>
          <w:rFonts w:ascii="Times New Roman" w:hAnsi="Times New Roman" w:cs="Times New Roman"/>
          <w:b/>
          <w:sz w:val="24"/>
          <w:szCs w:val="24"/>
        </w:rPr>
        <w:t>Fig</w:t>
      </w:r>
      <w:r w:rsidR="007372BB">
        <w:rPr>
          <w:rFonts w:ascii="Times New Roman" w:hAnsi="Times New Roman" w:cs="Times New Roman"/>
          <w:b/>
          <w:sz w:val="24"/>
          <w:szCs w:val="24"/>
        </w:rPr>
        <w:t xml:space="preserve">. 5 </w:t>
      </w:r>
      <w:r w:rsidRPr="00C77BDB">
        <w:rPr>
          <w:rFonts w:ascii="Times New Roman" w:hAnsi="Times New Roman" w:cs="Times New Roman"/>
          <w:b/>
          <w:sz w:val="24"/>
          <w:szCs w:val="24"/>
        </w:rPr>
        <w:t xml:space="preserve"> Coupe géologique schématique expliquant les relations structurales et sédimentaires entre les Monts du  Hodna (autochtone) et </w:t>
      </w:r>
      <w:r w:rsidR="00C77BDB" w:rsidRPr="00C77BDB">
        <w:rPr>
          <w:rFonts w:ascii="Times New Roman" w:hAnsi="Times New Roman" w:cs="Times New Roman"/>
          <w:b/>
          <w:bCs/>
          <w:sz w:val="24"/>
          <w:szCs w:val="24"/>
        </w:rPr>
        <w:t>l’ensemble allochtone sud-sétifien</w:t>
      </w:r>
      <w:r w:rsidR="007372BB">
        <w:rPr>
          <w:rFonts w:ascii="Times New Roman" w:hAnsi="Times New Roman" w:cs="Times New Roman"/>
          <w:b/>
          <w:bCs/>
          <w:sz w:val="24"/>
          <w:szCs w:val="24"/>
        </w:rPr>
        <w:t>.</w:t>
      </w:r>
    </w:p>
    <w:p w:rsidR="005F07BC" w:rsidRPr="00881AC7" w:rsidRDefault="005F07BC" w:rsidP="00B25569">
      <w:pPr>
        <w:ind w:right="72"/>
        <w:jc w:val="both"/>
        <w:rPr>
          <w:rFonts w:ascii="Times New Roman" w:hAnsi="Times New Roman" w:cs="Times New Roman"/>
          <w:sz w:val="24"/>
          <w:szCs w:val="24"/>
        </w:rPr>
      </w:pPr>
    </w:p>
    <w:p w:rsidR="005F07BC" w:rsidRDefault="005F07BC" w:rsidP="00881AC7">
      <w:pPr>
        <w:spacing w:after="360"/>
        <w:ind w:right="72" w:firstLine="720"/>
        <w:rPr>
          <w:rFonts w:ascii="Times New Roman" w:hAnsi="Times New Roman" w:cs="Times New Roman"/>
          <w:sz w:val="24"/>
          <w:szCs w:val="24"/>
        </w:rPr>
      </w:pPr>
      <w:r w:rsidRPr="005F07BC">
        <w:rPr>
          <w:rFonts w:ascii="Times New Roman" w:hAnsi="Times New Roman" w:cs="Times New Roman"/>
          <w:noProof/>
          <w:sz w:val="24"/>
          <w:szCs w:val="24"/>
          <w:lang w:eastAsia="fr-FR"/>
        </w:rPr>
        <w:drawing>
          <wp:inline distT="0" distB="0" distL="0" distR="0">
            <wp:extent cx="5445240" cy="1064525"/>
            <wp:effectExtent l="19050" t="0" r="3060" b="0"/>
            <wp:docPr id="26"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a:srcRect/>
                    <a:stretch>
                      <a:fillRect/>
                    </a:stretch>
                  </pic:blipFill>
                  <pic:spPr bwMode="auto">
                    <a:xfrm>
                      <a:off x="0" y="0"/>
                      <a:ext cx="5460111" cy="1067432"/>
                    </a:xfrm>
                    <a:prstGeom prst="rect">
                      <a:avLst/>
                    </a:prstGeom>
                    <a:noFill/>
                    <a:ln w="9525">
                      <a:noFill/>
                      <a:miter lim="800000"/>
                      <a:headEnd/>
                      <a:tailEnd/>
                    </a:ln>
                  </pic:spPr>
                </pic:pic>
              </a:graphicData>
            </a:graphic>
          </wp:inline>
        </w:drawing>
      </w:r>
    </w:p>
    <w:p w:rsidR="005F07BC" w:rsidRPr="00C77BDB" w:rsidRDefault="007372BB" w:rsidP="00C77BDB">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Fig. 6</w:t>
      </w:r>
      <w:r w:rsidR="005F07BC" w:rsidRPr="00C77BDB">
        <w:rPr>
          <w:rFonts w:ascii="Times New Roman" w:hAnsi="Times New Roman" w:cs="Times New Roman"/>
          <w:b/>
          <w:sz w:val="24"/>
          <w:szCs w:val="24"/>
        </w:rPr>
        <w:t xml:space="preserve"> – Coupe géologique schématique expliquant les relations structurales et sédimentairesentre le Néritique et les Sellaoua (Chadi et al., 1999).</w:t>
      </w:r>
    </w:p>
    <w:p w:rsidR="005F07BC" w:rsidRDefault="005F07BC" w:rsidP="00881AC7">
      <w:pPr>
        <w:spacing w:after="360"/>
        <w:ind w:right="72" w:firstLine="720"/>
        <w:rPr>
          <w:rFonts w:ascii="Times New Roman" w:hAnsi="Times New Roman" w:cs="Times New Roman"/>
          <w:sz w:val="24"/>
          <w:szCs w:val="24"/>
        </w:rPr>
      </w:pPr>
    </w:p>
    <w:p w:rsidR="005F07BC" w:rsidRDefault="005F07BC" w:rsidP="00881AC7">
      <w:pPr>
        <w:spacing w:after="360"/>
        <w:ind w:right="72" w:firstLine="720"/>
        <w:rPr>
          <w:rFonts w:ascii="Times New Roman" w:hAnsi="Times New Roman" w:cs="Times New Roman"/>
          <w:sz w:val="24"/>
          <w:szCs w:val="24"/>
        </w:rPr>
      </w:pPr>
    </w:p>
    <w:p w:rsidR="00C77BDB" w:rsidRDefault="00C77BDB" w:rsidP="00881AC7">
      <w:pPr>
        <w:spacing w:after="360"/>
        <w:ind w:right="72" w:firstLine="720"/>
        <w:rPr>
          <w:rFonts w:ascii="Times New Roman" w:hAnsi="Times New Roman" w:cs="Times New Roman"/>
          <w:sz w:val="24"/>
          <w:szCs w:val="24"/>
        </w:rPr>
      </w:pPr>
    </w:p>
    <w:p w:rsidR="00881AC7" w:rsidRPr="00881AC7" w:rsidRDefault="00C77BDB" w:rsidP="00881AC7">
      <w:pPr>
        <w:spacing w:after="360"/>
        <w:ind w:right="72" w:firstLine="720"/>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anchor distT="0" distB="0" distL="114300" distR="114300" simplePos="0" relativeHeight="251679744" behindDoc="0" locked="0" layoutInCell="1" allowOverlap="1">
            <wp:simplePos x="0" y="0"/>
            <wp:positionH relativeFrom="margin">
              <wp:posOffset>-158750</wp:posOffset>
            </wp:positionH>
            <wp:positionV relativeFrom="margin">
              <wp:posOffset>636905</wp:posOffset>
            </wp:positionV>
            <wp:extent cx="5894705" cy="1471930"/>
            <wp:effectExtent l="19050" t="0" r="0" b="0"/>
            <wp:wrapSquare wrapText="bothSides"/>
            <wp:docPr id="1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5894705" cy="1471930"/>
                    </a:xfrm>
                    <a:prstGeom prst="rect">
                      <a:avLst/>
                    </a:prstGeom>
                    <a:noFill/>
                    <a:ln w="9525">
                      <a:noFill/>
                      <a:miter lim="800000"/>
                      <a:headEnd/>
                      <a:tailEnd/>
                    </a:ln>
                  </pic:spPr>
                </pic:pic>
              </a:graphicData>
            </a:graphic>
          </wp:anchor>
        </w:drawing>
      </w:r>
      <w:r w:rsidR="007372BB">
        <w:rPr>
          <w:rFonts w:ascii="Times New Roman" w:hAnsi="Times New Roman" w:cs="Times New Roman"/>
          <w:sz w:val="24"/>
          <w:szCs w:val="24"/>
        </w:rPr>
        <w:t>La figure 7</w:t>
      </w:r>
      <w:r w:rsidR="00881AC7" w:rsidRPr="00881AC7">
        <w:rPr>
          <w:rFonts w:ascii="Times New Roman" w:hAnsi="Times New Roman" w:cs="Times New Roman"/>
          <w:sz w:val="24"/>
          <w:szCs w:val="24"/>
        </w:rPr>
        <w:t xml:space="preserve"> montre un exemple d’agencement des différents domaines et unités cités précédemment en Algérie (exemple du Constantinois, Algérie nord-orientale).</w:t>
      </w:r>
    </w:p>
    <w:p w:rsidR="00881AC7" w:rsidRPr="00881AC7" w:rsidRDefault="00881AC7" w:rsidP="00C77BDB">
      <w:pPr>
        <w:spacing w:after="0"/>
        <w:jc w:val="center"/>
        <w:rPr>
          <w:rFonts w:ascii="Times New Roman" w:hAnsi="Times New Roman" w:cs="Times New Roman"/>
          <w:sz w:val="24"/>
          <w:szCs w:val="24"/>
        </w:rPr>
      </w:pPr>
    </w:p>
    <w:p w:rsidR="00881AC7" w:rsidRDefault="00325D1B" w:rsidP="00C77BDB">
      <w:pPr>
        <w:spacing w:after="0"/>
        <w:ind w:left="3816" w:right="216" w:hanging="2952"/>
        <w:rPr>
          <w:rFonts w:ascii="Times New Roman" w:hAnsi="Times New Roman" w:cs="Times New Roman"/>
          <w:sz w:val="24"/>
          <w:szCs w:val="24"/>
        </w:rPr>
      </w:pPr>
      <w:r>
        <w:rPr>
          <w:rFonts w:ascii="Times New Roman" w:hAnsi="Times New Roman" w:cs="Times New Roman"/>
          <w:b/>
          <w:bCs/>
          <w:noProof/>
          <w:spacing w:val="-2"/>
          <w:sz w:val="24"/>
          <w:szCs w:val="24"/>
          <w:lang w:eastAsia="fr-FR"/>
        </w:rPr>
        <w:drawing>
          <wp:anchor distT="0" distB="0" distL="114300" distR="114300" simplePos="0" relativeHeight="251685888" behindDoc="0" locked="0" layoutInCell="1" allowOverlap="1">
            <wp:simplePos x="0" y="0"/>
            <wp:positionH relativeFrom="margin">
              <wp:posOffset>-52070</wp:posOffset>
            </wp:positionH>
            <wp:positionV relativeFrom="margin">
              <wp:posOffset>2988310</wp:posOffset>
            </wp:positionV>
            <wp:extent cx="6405245" cy="2018665"/>
            <wp:effectExtent l="19050" t="0" r="0" b="0"/>
            <wp:wrapSquare wrapText="bothSides"/>
            <wp:docPr id="25" name="Image 4" descr="D:\fig\31.jpg"/>
            <wp:cNvGraphicFramePr/>
            <a:graphic xmlns:a="http://schemas.openxmlformats.org/drawingml/2006/main">
              <a:graphicData uri="http://schemas.openxmlformats.org/drawingml/2006/picture">
                <pic:pic xmlns:pic="http://schemas.openxmlformats.org/drawingml/2006/picture">
                  <pic:nvPicPr>
                    <pic:cNvPr id="11270" name="Picture 6" descr="D:\fig\31.jpg"/>
                    <pic:cNvPicPr>
                      <a:picLocks noChangeAspect="1" noChangeArrowheads="1"/>
                    </pic:cNvPicPr>
                  </pic:nvPicPr>
                  <pic:blipFill>
                    <a:blip r:embed="rId30"/>
                    <a:srcRect/>
                    <a:stretch>
                      <a:fillRect/>
                    </a:stretch>
                  </pic:blipFill>
                  <pic:spPr bwMode="auto">
                    <a:xfrm>
                      <a:off x="0" y="0"/>
                      <a:ext cx="6405245" cy="2018665"/>
                    </a:xfrm>
                    <a:prstGeom prst="rect">
                      <a:avLst/>
                    </a:prstGeom>
                    <a:noFill/>
                  </pic:spPr>
                </pic:pic>
              </a:graphicData>
            </a:graphic>
          </wp:anchor>
        </w:drawing>
      </w:r>
      <w:r w:rsidR="007372BB">
        <w:rPr>
          <w:rFonts w:ascii="Times New Roman" w:hAnsi="Times New Roman" w:cs="Times New Roman"/>
          <w:b/>
          <w:bCs/>
          <w:spacing w:val="-2"/>
          <w:sz w:val="24"/>
          <w:szCs w:val="24"/>
        </w:rPr>
        <w:t>Figure 7</w:t>
      </w:r>
      <w:r w:rsidR="00881AC7" w:rsidRPr="00881AC7">
        <w:rPr>
          <w:rFonts w:ascii="Times New Roman" w:hAnsi="Times New Roman" w:cs="Times New Roman"/>
          <w:b/>
          <w:bCs/>
          <w:spacing w:val="-2"/>
          <w:sz w:val="24"/>
          <w:szCs w:val="24"/>
        </w:rPr>
        <w:t xml:space="preserve"> : </w:t>
      </w:r>
      <w:r w:rsidR="00881AC7" w:rsidRPr="00881AC7">
        <w:rPr>
          <w:rFonts w:ascii="Times New Roman" w:hAnsi="Times New Roman" w:cs="Times New Roman"/>
          <w:spacing w:val="-2"/>
          <w:sz w:val="24"/>
          <w:szCs w:val="24"/>
        </w:rPr>
        <w:t>Coupe générale synthétiqu e des Maghrébides de l’Est algérien (région du</w:t>
      </w:r>
      <w:r w:rsidR="00881AC7" w:rsidRPr="00881AC7">
        <w:rPr>
          <w:rFonts w:ascii="Times New Roman" w:hAnsi="Times New Roman" w:cs="Times New Roman"/>
          <w:sz w:val="24"/>
          <w:szCs w:val="24"/>
        </w:rPr>
        <w:t xml:space="preserve"> Constantinois)</w:t>
      </w:r>
    </w:p>
    <w:p w:rsidR="00325D1B" w:rsidRDefault="00325D1B" w:rsidP="00325D1B">
      <w:pPr>
        <w:ind w:right="72"/>
        <w:jc w:val="both"/>
        <w:rPr>
          <w:rFonts w:ascii="Times New Roman" w:hAnsi="Times New Roman" w:cs="Times New Roman"/>
          <w:sz w:val="24"/>
          <w:szCs w:val="24"/>
        </w:rPr>
      </w:pPr>
    </w:p>
    <w:p w:rsidR="00325D1B" w:rsidRDefault="00325D1B" w:rsidP="00325D1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Fr : Flysch maurétanien ; Fs : Flysch massylien ; Ut : nappes telliennes du type Ultra tellien ;</w:t>
      </w:r>
    </w:p>
    <w:p w:rsidR="00325D1B" w:rsidRDefault="00325D1B" w:rsidP="00325D1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ASA : Accident sud atlasique</w:t>
      </w:r>
    </w:p>
    <w:p w:rsidR="00325D1B" w:rsidRDefault="007372BB" w:rsidP="00325D1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Fig. 8</w:t>
      </w:r>
      <w:r w:rsidR="00325D1B">
        <w:rPr>
          <w:rFonts w:ascii="Times New Roman" w:hAnsi="Times New Roman" w:cs="Times New Roman"/>
          <w:sz w:val="24"/>
          <w:szCs w:val="24"/>
        </w:rPr>
        <w:t xml:space="preserve"> – Coupe palinspatique schématique NS (au Crétacé) passant par les domaines sétifien-</w:t>
      </w:r>
    </w:p>
    <w:p w:rsidR="00325D1B" w:rsidRDefault="00325D1B" w:rsidP="00325D1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Hodna-Aurès (le schéma est basé sur les données de : Guiraud, 1973 ; Vila, 1980 ; Bureau,</w:t>
      </w:r>
    </w:p>
    <w:p w:rsidR="00325D1B" w:rsidRDefault="00325D1B" w:rsidP="00325D1B">
      <w:pPr>
        <w:ind w:right="72" w:firstLine="720"/>
        <w:jc w:val="both"/>
        <w:rPr>
          <w:rFonts w:ascii="Times New Roman" w:hAnsi="Times New Roman" w:cs="Times New Roman"/>
          <w:sz w:val="24"/>
          <w:szCs w:val="24"/>
        </w:rPr>
      </w:pPr>
      <w:r>
        <w:rPr>
          <w:rFonts w:ascii="Times New Roman" w:hAnsi="Times New Roman" w:cs="Times New Roman"/>
          <w:sz w:val="24"/>
          <w:szCs w:val="24"/>
        </w:rPr>
        <w:t>1986 ; KaziTani, 1986 ; Bouillin, 1990 ; et Guerrera et al, 1993 )</w:t>
      </w:r>
    </w:p>
    <w:p w:rsidR="0065111D" w:rsidRDefault="0065111D" w:rsidP="00325D1B">
      <w:pPr>
        <w:ind w:right="72"/>
        <w:jc w:val="both"/>
        <w:rPr>
          <w:rFonts w:ascii="Times New Roman" w:hAnsi="Times New Roman" w:cs="Times New Roman"/>
          <w:sz w:val="24"/>
          <w:szCs w:val="24"/>
        </w:rPr>
      </w:pPr>
    </w:p>
    <w:p w:rsidR="0065111D" w:rsidRDefault="0065111D" w:rsidP="00325D1B">
      <w:pPr>
        <w:ind w:right="72"/>
        <w:jc w:val="both"/>
        <w:rPr>
          <w:rFonts w:ascii="Times New Roman" w:hAnsi="Times New Roman" w:cs="Times New Roman"/>
          <w:sz w:val="24"/>
          <w:szCs w:val="24"/>
        </w:rPr>
      </w:pPr>
    </w:p>
    <w:p w:rsidR="0065111D" w:rsidRDefault="0065111D" w:rsidP="00325D1B">
      <w:pPr>
        <w:ind w:right="72"/>
        <w:jc w:val="both"/>
        <w:rPr>
          <w:rFonts w:ascii="Times New Roman" w:hAnsi="Times New Roman" w:cs="Times New Roman"/>
          <w:sz w:val="24"/>
          <w:szCs w:val="24"/>
        </w:rPr>
      </w:pPr>
    </w:p>
    <w:p w:rsidR="0065111D" w:rsidRDefault="0065111D" w:rsidP="00325D1B">
      <w:pPr>
        <w:ind w:right="72"/>
        <w:jc w:val="both"/>
        <w:rPr>
          <w:rFonts w:ascii="Times New Roman" w:hAnsi="Times New Roman" w:cs="Times New Roman"/>
          <w:sz w:val="24"/>
          <w:szCs w:val="24"/>
        </w:rPr>
      </w:pPr>
    </w:p>
    <w:p w:rsidR="0065111D" w:rsidRDefault="0065111D" w:rsidP="00325D1B">
      <w:pPr>
        <w:ind w:right="72"/>
        <w:jc w:val="both"/>
        <w:rPr>
          <w:rFonts w:ascii="Times New Roman" w:hAnsi="Times New Roman" w:cs="Times New Roman"/>
          <w:sz w:val="24"/>
          <w:szCs w:val="24"/>
        </w:rPr>
      </w:pPr>
    </w:p>
    <w:p w:rsidR="0065111D" w:rsidRDefault="0065111D" w:rsidP="00325D1B">
      <w:pPr>
        <w:ind w:right="72"/>
        <w:jc w:val="both"/>
        <w:rPr>
          <w:rFonts w:ascii="Times New Roman" w:hAnsi="Times New Roman" w:cs="Times New Roman"/>
          <w:sz w:val="24"/>
          <w:szCs w:val="24"/>
        </w:rPr>
      </w:pPr>
    </w:p>
    <w:p w:rsidR="0065111D" w:rsidRDefault="0065111D" w:rsidP="00325D1B">
      <w:pPr>
        <w:ind w:right="72"/>
        <w:jc w:val="both"/>
        <w:rPr>
          <w:rFonts w:ascii="Times New Roman" w:hAnsi="Times New Roman" w:cs="Times New Roman"/>
          <w:sz w:val="24"/>
          <w:szCs w:val="24"/>
        </w:rPr>
      </w:pPr>
    </w:p>
    <w:p w:rsidR="0065111D" w:rsidRDefault="0065111D" w:rsidP="00325D1B">
      <w:pPr>
        <w:ind w:right="72"/>
        <w:jc w:val="both"/>
        <w:rPr>
          <w:rFonts w:ascii="Times New Roman" w:hAnsi="Times New Roman" w:cs="Times New Roman"/>
          <w:sz w:val="24"/>
          <w:szCs w:val="24"/>
        </w:rPr>
      </w:pPr>
    </w:p>
    <w:p w:rsidR="0065111D" w:rsidRDefault="0065111D" w:rsidP="00325D1B">
      <w:pPr>
        <w:ind w:right="72"/>
        <w:jc w:val="both"/>
        <w:rPr>
          <w:rFonts w:ascii="Times New Roman" w:hAnsi="Times New Roman" w:cs="Times New Roman"/>
          <w:sz w:val="24"/>
          <w:szCs w:val="24"/>
        </w:rPr>
      </w:pPr>
    </w:p>
    <w:p w:rsidR="0065111D" w:rsidRPr="0065111D" w:rsidRDefault="0065111D" w:rsidP="0065111D">
      <w:pPr>
        <w:ind w:right="72"/>
        <w:jc w:val="center"/>
        <w:rPr>
          <w:rFonts w:ascii="Times New Roman" w:hAnsi="Times New Roman" w:cs="Times New Roman"/>
          <w:b/>
          <w:bCs/>
          <w:sz w:val="32"/>
          <w:szCs w:val="32"/>
        </w:rPr>
      </w:pPr>
      <w:r w:rsidRPr="0065111D">
        <w:rPr>
          <w:rFonts w:ascii="Times New Roman" w:hAnsi="Times New Roman" w:cs="Times New Roman"/>
          <w:b/>
          <w:bCs/>
          <w:sz w:val="32"/>
          <w:szCs w:val="32"/>
        </w:rPr>
        <w:lastRenderedPageBreak/>
        <w:t>conclusion</w:t>
      </w:r>
    </w:p>
    <w:p w:rsidR="00881AC7" w:rsidRPr="00881AC7" w:rsidRDefault="00881AC7" w:rsidP="00325D1B">
      <w:pPr>
        <w:ind w:right="72"/>
        <w:jc w:val="both"/>
        <w:rPr>
          <w:rFonts w:ascii="Times New Roman" w:hAnsi="Times New Roman" w:cs="Times New Roman"/>
          <w:sz w:val="24"/>
          <w:szCs w:val="24"/>
        </w:rPr>
      </w:pPr>
      <w:r w:rsidRPr="00881AC7">
        <w:rPr>
          <w:rFonts w:ascii="Times New Roman" w:hAnsi="Times New Roman" w:cs="Times New Roman"/>
          <w:sz w:val="24"/>
          <w:szCs w:val="24"/>
        </w:rPr>
        <w:t xml:space="preserve">On admet aujourd’hui que le domaine interne de la chaîne des Maghrébides faisait autrefois partie d’un micro-continent ou terrane appelé AlKaPeCa (pour Alboran, Kabylies, Paloritain et Calabre qui sont les différents massifs internes de l’orogènepéri-méditerranéen) qui était situé beaucoup plus au Nord et appartenait à la marge européenne. La dorsale kabyle constituait la marge méridionale et le talus continental de ce bloc. Les flyschs se sont déposés dans le bassin océanique profond qui séparait la marge européenne (ou le bloc AlKaPeCa) et la marge africaine. Les flyschsmaurétaniens se sont déposés au pied de la dorsale kabyle et sont alimentés par les zones internes. Les flyschsmassyliens se sont déposés au pied de la marge africaine et sont alimentés par les zones externes. Certains flyschs, tels ceux de Ziane ou de Tamalous présentent des caractères mixtes où s’intriquent verticalement tous les faciès caractéristiques de l’une ou l’autre des deux séries de flyschs, ce qui indique qu’ils se sont probablement déposés dans une zone de milieu de bassin, recevant aussi bien du matériel d’origine méridionale que d’origine septentrionale. Les nappes telliennes correspondent à la couverture sédimentaire qui s’est déposée sur la marge nord de la plaque africaine (figure </w:t>
      </w:r>
      <w:r w:rsidR="00801DD3">
        <w:rPr>
          <w:rFonts w:ascii="Times New Roman" w:hAnsi="Times New Roman" w:cs="Times New Roman"/>
          <w:sz w:val="24"/>
          <w:szCs w:val="24"/>
        </w:rPr>
        <w:t>9</w:t>
      </w:r>
      <w:r w:rsidRPr="00881AC7">
        <w:rPr>
          <w:rFonts w:ascii="Times New Roman" w:hAnsi="Times New Roman" w:cs="Times New Roman"/>
          <w:sz w:val="24"/>
          <w:szCs w:val="24"/>
        </w:rPr>
        <w:t>).</w:t>
      </w:r>
    </w:p>
    <w:p w:rsidR="00881AC7" w:rsidRDefault="00881AC7" w:rsidP="00325D1B">
      <w:pPr>
        <w:ind w:right="72"/>
        <w:jc w:val="both"/>
        <w:rPr>
          <w:rFonts w:ascii="Times New Roman" w:hAnsi="Times New Roman" w:cs="Times New Roman"/>
          <w:sz w:val="24"/>
          <w:szCs w:val="24"/>
        </w:rPr>
      </w:pPr>
      <w:r w:rsidRPr="00881AC7">
        <w:rPr>
          <w:rFonts w:ascii="Times New Roman" w:hAnsi="Times New Roman" w:cs="Times New Roman"/>
          <w:sz w:val="24"/>
          <w:szCs w:val="24"/>
        </w:rPr>
        <w:t xml:space="preserve">Les deux domaines externe et interne se sont affrontés suite au rapprochement des plaques africaine et européenne. Ceci a conduit à la fermeture du bassin des flyschs, et celle du sillon tellien, l’écaillage de la dorsale kabyle et le déplacement des flyschs et des unités telliennes en nappes pelliculaires </w:t>
      </w:r>
      <w:r w:rsidR="00801DD3">
        <w:rPr>
          <w:rFonts w:ascii="Times New Roman" w:hAnsi="Times New Roman" w:cs="Times New Roman"/>
          <w:sz w:val="24"/>
          <w:szCs w:val="24"/>
        </w:rPr>
        <w:t>loin vers le sud (figure 10)</w:t>
      </w:r>
      <w:r w:rsidRPr="00881AC7">
        <w:rPr>
          <w:rFonts w:ascii="Times New Roman" w:hAnsi="Times New Roman" w:cs="Times New Roman"/>
          <w:sz w:val="24"/>
          <w:szCs w:val="24"/>
        </w:rPr>
        <w:t>.</w:t>
      </w:r>
    </w:p>
    <w:p w:rsidR="00881AC7" w:rsidRDefault="00C77BDB" w:rsidP="00C77BDB">
      <w:pPr>
        <w:ind w:right="72"/>
        <w:jc w:val="both"/>
        <w:rPr>
          <w:rFonts w:ascii="Times New Roman" w:hAnsi="Times New Roman" w:cs="Times New Roman"/>
          <w:sz w:val="24"/>
          <w:szCs w:val="24"/>
        </w:rPr>
      </w:pPr>
      <w:r w:rsidRPr="00C77BDB">
        <w:rPr>
          <w:rFonts w:ascii="Times New Roman" w:hAnsi="Times New Roman" w:cs="Times New Roman"/>
          <w:noProof/>
          <w:sz w:val="24"/>
          <w:szCs w:val="24"/>
          <w:lang w:eastAsia="fr-FR"/>
        </w:rPr>
        <w:drawing>
          <wp:inline distT="0" distB="0" distL="0" distR="0">
            <wp:extent cx="5847715" cy="1530985"/>
            <wp:effectExtent l="19050" t="0" r="635" b="0"/>
            <wp:docPr id="2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5847715" cy="1530985"/>
                    </a:xfrm>
                    <a:prstGeom prst="rect">
                      <a:avLst/>
                    </a:prstGeom>
                    <a:noFill/>
                    <a:ln w="9525">
                      <a:noFill/>
                      <a:miter lim="800000"/>
                      <a:headEnd/>
                      <a:tailEnd/>
                    </a:ln>
                  </pic:spPr>
                </pic:pic>
              </a:graphicData>
            </a:graphic>
          </wp:inline>
        </w:drawing>
      </w:r>
    </w:p>
    <w:p w:rsidR="000F3165" w:rsidRDefault="00702DF1" w:rsidP="00C77BDB">
      <w:pPr>
        <w:spacing w:before="100" w:beforeAutospacing="1" w:after="0"/>
        <w:ind w:left="1728" w:right="576" w:hanging="360"/>
        <w:rPr>
          <w:rFonts w:ascii="Times New Roman" w:hAnsi="Times New Roman" w:cs="Times New Roman"/>
          <w:sz w:val="24"/>
          <w:szCs w:val="24"/>
        </w:rPr>
      </w:pPr>
      <w:r>
        <w:rPr>
          <w:rFonts w:ascii="Times New Roman" w:hAnsi="Times New Roman" w:cs="Times New Roman"/>
          <w:b/>
          <w:bCs/>
          <w:sz w:val="24"/>
          <w:szCs w:val="24"/>
        </w:rPr>
        <w:t>Figure 9</w:t>
      </w:r>
      <w:r w:rsidR="00C77BDB" w:rsidRPr="00881AC7">
        <w:rPr>
          <w:rFonts w:ascii="Times New Roman" w:hAnsi="Times New Roman" w:cs="Times New Roman"/>
          <w:b/>
          <w:bCs/>
          <w:sz w:val="24"/>
          <w:szCs w:val="24"/>
        </w:rPr>
        <w:t xml:space="preserve"> : </w:t>
      </w:r>
      <w:r w:rsidR="00C77BDB" w:rsidRPr="00881AC7">
        <w:rPr>
          <w:rFonts w:ascii="Times New Roman" w:hAnsi="Times New Roman" w:cs="Times New Roman"/>
          <w:sz w:val="24"/>
          <w:szCs w:val="24"/>
        </w:rPr>
        <w:t>Reconstitution paléogéographique des différents domaines des Maghrébides au Crétacé inférieur (d’après Bouillin, 1986)</w:t>
      </w:r>
    </w:p>
    <w:p w:rsidR="0065111D" w:rsidRDefault="0065111D" w:rsidP="0065111D">
      <w:pPr>
        <w:spacing w:after="0"/>
        <w:ind w:right="288"/>
        <w:rPr>
          <w:rFonts w:ascii="Times New Roman" w:hAnsi="Times New Roman" w:cs="Times New Roman"/>
          <w:b/>
          <w:bCs/>
          <w:sz w:val="24"/>
          <w:szCs w:val="24"/>
        </w:rPr>
      </w:pPr>
    </w:p>
    <w:p w:rsidR="0065111D" w:rsidRDefault="0065111D" w:rsidP="0065111D">
      <w:pPr>
        <w:spacing w:after="0"/>
        <w:ind w:right="288"/>
        <w:rPr>
          <w:rFonts w:ascii="Times New Roman" w:hAnsi="Times New Roman" w:cs="Times New Roman"/>
          <w:b/>
          <w:bCs/>
          <w:sz w:val="24"/>
          <w:szCs w:val="24"/>
        </w:rPr>
      </w:pPr>
    </w:p>
    <w:p w:rsidR="0065111D" w:rsidRDefault="0065111D" w:rsidP="0065111D">
      <w:pPr>
        <w:spacing w:after="0"/>
        <w:ind w:right="288"/>
        <w:rPr>
          <w:rFonts w:ascii="Times New Roman" w:hAnsi="Times New Roman" w:cs="Times New Roman"/>
          <w:b/>
          <w:bCs/>
          <w:sz w:val="24"/>
          <w:szCs w:val="24"/>
        </w:rPr>
      </w:pPr>
    </w:p>
    <w:p w:rsidR="0065111D" w:rsidRDefault="0065111D" w:rsidP="0065111D">
      <w:pPr>
        <w:spacing w:after="0"/>
        <w:ind w:right="288"/>
        <w:rPr>
          <w:rFonts w:ascii="Times New Roman" w:hAnsi="Times New Roman" w:cs="Times New Roman"/>
          <w:b/>
          <w:bCs/>
          <w:sz w:val="24"/>
          <w:szCs w:val="24"/>
        </w:rPr>
      </w:pPr>
    </w:p>
    <w:p w:rsidR="00C77BDB" w:rsidRPr="00881AC7" w:rsidRDefault="00C77BDB" w:rsidP="0065111D">
      <w:pPr>
        <w:spacing w:after="0"/>
        <w:ind w:right="288"/>
        <w:rPr>
          <w:rFonts w:ascii="Times New Roman" w:hAnsi="Times New Roman" w:cs="Times New Roman"/>
          <w:sz w:val="24"/>
          <w:szCs w:val="24"/>
        </w:rPr>
      </w:pPr>
      <w:bookmarkStart w:id="0" w:name="_GoBack"/>
      <w:r>
        <w:rPr>
          <w:rFonts w:ascii="Times New Roman" w:hAnsi="Times New Roman" w:cs="Times New Roman"/>
          <w:b/>
          <w:bCs/>
          <w:noProof/>
          <w:sz w:val="24"/>
          <w:szCs w:val="24"/>
          <w:lang w:eastAsia="fr-FR"/>
        </w:rPr>
        <w:lastRenderedPageBreak/>
        <w:drawing>
          <wp:anchor distT="0" distB="0" distL="114300" distR="114300" simplePos="0" relativeHeight="251688960" behindDoc="0" locked="0" layoutInCell="1" allowOverlap="1">
            <wp:simplePos x="0" y="0"/>
            <wp:positionH relativeFrom="margin">
              <wp:posOffset>-175895</wp:posOffset>
            </wp:positionH>
            <wp:positionV relativeFrom="margin">
              <wp:posOffset>-15875</wp:posOffset>
            </wp:positionV>
            <wp:extent cx="5835015" cy="5905500"/>
            <wp:effectExtent l="0" t="0" r="0" b="0"/>
            <wp:wrapSquare wrapText="bothSides"/>
            <wp:docPr id="2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5835015" cy="5905500"/>
                    </a:xfrm>
                    <a:prstGeom prst="rect">
                      <a:avLst/>
                    </a:prstGeom>
                    <a:noFill/>
                    <a:ln w="9525">
                      <a:noFill/>
                      <a:miter lim="800000"/>
                      <a:headEnd/>
                      <a:tailEnd/>
                    </a:ln>
                  </pic:spPr>
                </pic:pic>
              </a:graphicData>
            </a:graphic>
          </wp:anchor>
        </w:drawing>
      </w:r>
      <w:r w:rsidR="00702DF1">
        <w:rPr>
          <w:rFonts w:ascii="Times New Roman" w:hAnsi="Times New Roman" w:cs="Times New Roman"/>
          <w:b/>
          <w:bCs/>
          <w:sz w:val="24"/>
          <w:szCs w:val="24"/>
        </w:rPr>
        <w:t>Figure 10</w:t>
      </w:r>
      <w:r w:rsidRPr="00881AC7">
        <w:rPr>
          <w:rFonts w:ascii="Times New Roman" w:hAnsi="Times New Roman" w:cs="Times New Roman"/>
          <w:b/>
          <w:bCs/>
          <w:sz w:val="24"/>
          <w:szCs w:val="24"/>
        </w:rPr>
        <w:t xml:space="preserve"> : </w:t>
      </w:r>
      <w:r w:rsidRPr="00881AC7">
        <w:rPr>
          <w:rFonts w:ascii="Times New Roman" w:hAnsi="Times New Roman" w:cs="Times New Roman"/>
          <w:sz w:val="24"/>
          <w:szCs w:val="24"/>
        </w:rPr>
        <w:t xml:space="preserve">Scénario d'évolution de la Méditerrané e Occidentale sur un transect NNO/SSE </w:t>
      </w:r>
      <w:bookmarkEnd w:id="0"/>
      <w:r w:rsidRPr="00881AC7">
        <w:rPr>
          <w:rFonts w:ascii="Times New Roman" w:hAnsi="Times New Roman" w:cs="Times New Roman"/>
          <w:sz w:val="24"/>
          <w:szCs w:val="24"/>
        </w:rPr>
        <w:t>allant des Baléares à la plate-forme saharienne (Frizon de Lamotte et al., 2000).</w:t>
      </w:r>
    </w:p>
    <w:p w:rsidR="00C77BDB" w:rsidRPr="00881AC7" w:rsidRDefault="00C77BDB" w:rsidP="001A7943">
      <w:pPr>
        <w:spacing w:before="100" w:beforeAutospacing="1" w:after="0"/>
        <w:ind w:right="576"/>
        <w:rPr>
          <w:rFonts w:ascii="Times New Roman" w:hAnsi="Times New Roman" w:cs="Times New Roman"/>
          <w:sz w:val="24"/>
          <w:szCs w:val="24"/>
        </w:rPr>
        <w:sectPr w:rsidR="00C77BDB" w:rsidRPr="00881AC7" w:rsidSect="00A41AF0">
          <w:pgSz w:w="11904" w:h="16843"/>
          <w:pgMar w:top="1390" w:right="1236" w:bottom="801" w:left="1327" w:header="720" w:footer="720" w:gutter="0"/>
          <w:pgBorders w:offsetFrom="page">
            <w:top w:val="double" w:sz="4" w:space="24" w:color="auto"/>
            <w:left w:val="double" w:sz="4" w:space="24" w:color="auto"/>
            <w:bottom w:val="double" w:sz="4" w:space="24" w:color="auto"/>
            <w:right w:val="double" w:sz="4" w:space="24" w:color="auto"/>
          </w:pgBorders>
          <w:cols w:space="720"/>
          <w:noEndnote/>
        </w:sectPr>
      </w:pPr>
    </w:p>
    <w:p w:rsidR="00881AC7" w:rsidRPr="00881AC7" w:rsidRDefault="00881AC7" w:rsidP="001A7943">
      <w:pPr>
        <w:spacing w:after="396"/>
        <w:ind w:firstLine="708"/>
        <w:jc w:val="both"/>
        <w:rPr>
          <w:rFonts w:ascii="Times New Roman" w:hAnsi="Times New Roman" w:cs="Times New Roman"/>
          <w:sz w:val="24"/>
          <w:szCs w:val="24"/>
        </w:rPr>
      </w:pPr>
      <w:r w:rsidRPr="00881AC7">
        <w:rPr>
          <w:rFonts w:ascii="Times New Roman" w:hAnsi="Times New Roman" w:cs="Times New Roman"/>
          <w:sz w:val="24"/>
          <w:szCs w:val="24"/>
        </w:rPr>
        <w:lastRenderedPageBreak/>
        <w:t xml:space="preserve">Enfin, signalons que des formations sédimentaires du Miocène au Quaternaire recouvrent en discordance les différentes unités précédentes, et sont déposées postérieurement aux grands chevauchements des zones internes, des nappes de flyschs et des nappes telliennes formant de grands bassins « post-nappes » tels que la Mitidja et le bassin du Cheliff, orientés OSO-ENE et les bassins de Constantine et de la Soummam. Au sein des bassins « post-nappes » littoraux, s’est mis en place un magmatisme calco-alcalin et alcalin d’âge </w:t>
      </w:r>
      <w:r w:rsidR="00801DD3">
        <w:rPr>
          <w:rFonts w:ascii="Times New Roman" w:hAnsi="Times New Roman" w:cs="Times New Roman"/>
          <w:sz w:val="24"/>
          <w:szCs w:val="24"/>
        </w:rPr>
        <w:t>miocène et quaternaire (figure 11</w:t>
      </w:r>
      <w:r w:rsidRPr="00881AC7">
        <w:rPr>
          <w:rFonts w:ascii="Times New Roman" w:hAnsi="Times New Roman" w:cs="Times New Roman"/>
          <w:sz w:val="24"/>
          <w:szCs w:val="24"/>
        </w:rPr>
        <w:t xml:space="preserve"> et tableau 1). Ces roches magmatiques sont présentes dans les zones côtières à l’ouest d’Oran, dans l’algérois (régions de Cherchell, Dellys et Thénia), autour de la baie de Bejaia, dans le massif de Collo, et entre Skikda et Annaba.</w:t>
      </w:r>
    </w:p>
    <w:p w:rsidR="00881AC7" w:rsidRPr="00881AC7" w:rsidRDefault="003E06C2" w:rsidP="00881AC7">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901812" cy="1799004"/>
            <wp:effectExtent l="19050" t="0" r="3688"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a:srcRect/>
                    <a:stretch>
                      <a:fillRect/>
                    </a:stretch>
                  </pic:blipFill>
                  <pic:spPr bwMode="auto">
                    <a:xfrm>
                      <a:off x="0" y="0"/>
                      <a:ext cx="5905920" cy="1800256"/>
                    </a:xfrm>
                    <a:prstGeom prst="rect">
                      <a:avLst/>
                    </a:prstGeom>
                    <a:noFill/>
                    <a:ln w="9525">
                      <a:noFill/>
                      <a:miter lim="800000"/>
                      <a:headEnd/>
                      <a:tailEnd/>
                    </a:ln>
                  </pic:spPr>
                </pic:pic>
              </a:graphicData>
            </a:graphic>
          </wp:inline>
        </w:drawing>
      </w:r>
    </w:p>
    <w:p w:rsidR="00881AC7" w:rsidRPr="00881AC7" w:rsidRDefault="001819FA" w:rsidP="00881AC7">
      <w:pPr>
        <w:spacing w:before="144"/>
        <w:ind w:left="1512"/>
        <w:rPr>
          <w:rFonts w:ascii="Times New Roman" w:hAnsi="Times New Roman" w:cs="Times New Roman"/>
          <w:sz w:val="24"/>
          <w:szCs w:val="24"/>
        </w:rPr>
      </w:pPr>
      <w:r>
        <w:rPr>
          <w:rFonts w:ascii="Times New Roman" w:hAnsi="Times New Roman" w:cs="Times New Roman"/>
          <w:b/>
          <w:bCs/>
          <w:sz w:val="24"/>
          <w:szCs w:val="24"/>
        </w:rPr>
        <w:t>Figure 11</w:t>
      </w:r>
      <w:r w:rsidR="00881AC7" w:rsidRPr="00881AC7">
        <w:rPr>
          <w:rFonts w:ascii="Times New Roman" w:hAnsi="Times New Roman" w:cs="Times New Roman"/>
          <w:b/>
          <w:bCs/>
          <w:sz w:val="24"/>
          <w:szCs w:val="24"/>
        </w:rPr>
        <w:t xml:space="preserve">: </w:t>
      </w:r>
      <w:r w:rsidR="00881AC7" w:rsidRPr="00881AC7">
        <w:rPr>
          <w:rFonts w:ascii="Times New Roman" w:hAnsi="Times New Roman" w:cs="Times New Roman"/>
          <w:sz w:val="24"/>
          <w:szCs w:val="24"/>
        </w:rPr>
        <w:t>Répartition et âge du volcanisme récent en Afrique du Nord</w:t>
      </w:r>
    </w:p>
    <w:p w:rsidR="00881AC7" w:rsidRPr="00881AC7" w:rsidRDefault="00881AC7" w:rsidP="003E06C2">
      <w:pPr>
        <w:spacing w:after="0"/>
        <w:ind w:right="216" w:firstLine="720"/>
        <w:rPr>
          <w:rFonts w:ascii="Times New Roman" w:hAnsi="Times New Roman" w:cs="Times New Roman"/>
          <w:sz w:val="24"/>
          <w:szCs w:val="24"/>
        </w:rPr>
      </w:pPr>
      <w:r w:rsidRPr="00881AC7">
        <w:rPr>
          <w:rFonts w:ascii="Times New Roman" w:hAnsi="Times New Roman" w:cs="Times New Roman"/>
          <w:sz w:val="24"/>
          <w:szCs w:val="24"/>
        </w:rPr>
        <w:t>Enfin, la figure 9 donne la position des différentes unités géologiques des Maghrébides vues précédemment.</w:t>
      </w:r>
    </w:p>
    <w:p w:rsidR="00881AC7" w:rsidRPr="00881AC7" w:rsidRDefault="00881AC7" w:rsidP="003E06C2">
      <w:pPr>
        <w:spacing w:after="120"/>
        <w:jc w:val="center"/>
        <w:rPr>
          <w:rFonts w:ascii="Times New Roman" w:hAnsi="Times New Roman" w:cs="Times New Roman"/>
          <w:sz w:val="24"/>
          <w:szCs w:val="24"/>
        </w:rPr>
      </w:pPr>
      <w:r w:rsidRPr="00881AC7">
        <w:rPr>
          <w:rFonts w:ascii="Times New Roman" w:hAnsi="Times New Roman" w:cs="Times New Roman"/>
          <w:b/>
          <w:bCs/>
          <w:sz w:val="24"/>
          <w:szCs w:val="24"/>
        </w:rPr>
        <w:t xml:space="preserve">Tableau 1 : </w:t>
      </w:r>
      <w:r w:rsidRPr="00881AC7">
        <w:rPr>
          <w:rFonts w:ascii="Times New Roman" w:hAnsi="Times New Roman" w:cs="Times New Roman"/>
          <w:sz w:val="24"/>
          <w:szCs w:val="24"/>
        </w:rPr>
        <w:t>synthèse du volcanisme récent du Nord de l’Algérie</w:t>
      </w:r>
    </w:p>
    <w:tbl>
      <w:tblPr>
        <w:tblW w:w="0" w:type="auto"/>
        <w:jc w:val="center"/>
        <w:tblLayout w:type="fixed"/>
        <w:tblCellMar>
          <w:left w:w="0" w:type="dxa"/>
          <w:right w:w="0" w:type="dxa"/>
        </w:tblCellMar>
        <w:tblLook w:val="0000"/>
      </w:tblPr>
      <w:tblGrid>
        <w:gridCol w:w="2206"/>
        <w:gridCol w:w="4715"/>
        <w:gridCol w:w="1952"/>
      </w:tblGrid>
      <w:tr w:rsidR="00757CA2" w:rsidRPr="00881AC7" w:rsidTr="00757CA2">
        <w:trPr>
          <w:trHeight w:hRule="exact" w:val="420"/>
          <w:jc w:val="center"/>
        </w:trPr>
        <w:tc>
          <w:tcPr>
            <w:tcW w:w="2206" w:type="dxa"/>
            <w:tcBorders>
              <w:top w:val="single" w:sz="2" w:space="0" w:color="auto"/>
              <w:left w:val="single" w:sz="2" w:space="0" w:color="auto"/>
              <w:bottom w:val="single" w:sz="2" w:space="0" w:color="auto"/>
              <w:right w:val="single" w:sz="2" w:space="0" w:color="auto"/>
            </w:tcBorders>
            <w:shd w:val="solid" w:color="DDDDDD" w:fill="auto"/>
          </w:tcPr>
          <w:p w:rsidR="00881AC7" w:rsidRPr="00881AC7" w:rsidRDefault="00881AC7" w:rsidP="00757CA2">
            <w:pPr>
              <w:spacing w:after="540"/>
              <w:rPr>
                <w:rFonts w:ascii="Times New Roman" w:hAnsi="Times New Roman" w:cs="Times New Roman"/>
                <w:b/>
                <w:bCs/>
                <w:color w:val="000000"/>
                <w:sz w:val="24"/>
                <w:szCs w:val="24"/>
              </w:rPr>
            </w:pPr>
            <w:r w:rsidRPr="00881AC7">
              <w:rPr>
                <w:rFonts w:ascii="Times New Roman" w:hAnsi="Times New Roman" w:cs="Times New Roman"/>
                <w:b/>
                <w:bCs/>
                <w:color w:val="000000"/>
                <w:sz w:val="24"/>
                <w:szCs w:val="24"/>
              </w:rPr>
              <w:t>District volcanique</w:t>
            </w:r>
          </w:p>
        </w:tc>
        <w:tc>
          <w:tcPr>
            <w:tcW w:w="4715" w:type="dxa"/>
            <w:tcBorders>
              <w:top w:val="single" w:sz="2" w:space="0" w:color="auto"/>
              <w:left w:val="single" w:sz="2" w:space="0" w:color="auto"/>
              <w:bottom w:val="single" w:sz="2" w:space="0" w:color="auto"/>
              <w:right w:val="single" w:sz="2" w:space="0" w:color="auto"/>
            </w:tcBorders>
            <w:shd w:val="solid" w:color="DDDDDD" w:fill="auto"/>
          </w:tcPr>
          <w:p w:rsidR="00881AC7" w:rsidRPr="00881AC7" w:rsidRDefault="00881AC7" w:rsidP="00757CA2">
            <w:pPr>
              <w:spacing w:after="540"/>
              <w:rPr>
                <w:rFonts w:ascii="Times New Roman" w:hAnsi="Times New Roman" w:cs="Times New Roman"/>
                <w:b/>
                <w:bCs/>
                <w:color w:val="000000"/>
                <w:sz w:val="24"/>
                <w:szCs w:val="24"/>
              </w:rPr>
            </w:pPr>
            <w:r w:rsidRPr="00881AC7">
              <w:rPr>
                <w:rFonts w:ascii="Times New Roman" w:hAnsi="Times New Roman" w:cs="Times New Roman"/>
                <w:b/>
                <w:bCs/>
                <w:color w:val="000000"/>
                <w:sz w:val="24"/>
                <w:szCs w:val="24"/>
              </w:rPr>
              <w:t>Type de roches</w:t>
            </w:r>
          </w:p>
        </w:tc>
        <w:tc>
          <w:tcPr>
            <w:tcW w:w="1952" w:type="dxa"/>
            <w:tcBorders>
              <w:top w:val="single" w:sz="2" w:space="0" w:color="auto"/>
              <w:left w:val="single" w:sz="2" w:space="0" w:color="auto"/>
              <w:bottom w:val="single" w:sz="2" w:space="0" w:color="auto"/>
              <w:right w:val="single" w:sz="2" w:space="0" w:color="auto"/>
            </w:tcBorders>
            <w:shd w:val="solid" w:color="DDDDDD" w:fill="auto"/>
          </w:tcPr>
          <w:p w:rsidR="00881AC7" w:rsidRPr="00881AC7" w:rsidRDefault="00881AC7" w:rsidP="00757CA2">
            <w:pPr>
              <w:spacing w:after="540"/>
              <w:rPr>
                <w:rFonts w:ascii="Times New Roman" w:hAnsi="Times New Roman" w:cs="Times New Roman"/>
                <w:b/>
                <w:bCs/>
                <w:color w:val="000000"/>
                <w:sz w:val="24"/>
                <w:szCs w:val="24"/>
              </w:rPr>
            </w:pPr>
            <w:r w:rsidRPr="00881AC7">
              <w:rPr>
                <w:rFonts w:ascii="Times New Roman" w:hAnsi="Times New Roman" w:cs="Times New Roman"/>
                <w:b/>
                <w:bCs/>
                <w:color w:val="000000"/>
                <w:sz w:val="24"/>
                <w:szCs w:val="24"/>
              </w:rPr>
              <w:t>Age (Ma)</w:t>
            </w:r>
          </w:p>
        </w:tc>
      </w:tr>
      <w:tr w:rsidR="00757CA2" w:rsidRPr="00881AC7" w:rsidTr="00757CA2">
        <w:trPr>
          <w:trHeight w:hRule="exact" w:val="426"/>
          <w:jc w:val="center"/>
        </w:trPr>
        <w:tc>
          <w:tcPr>
            <w:tcW w:w="2206" w:type="dxa"/>
            <w:tcBorders>
              <w:top w:val="single" w:sz="2" w:space="0" w:color="auto"/>
              <w:left w:val="single" w:sz="2" w:space="0" w:color="auto"/>
              <w:bottom w:val="single" w:sz="2" w:space="0" w:color="auto"/>
              <w:right w:val="single" w:sz="2" w:space="0" w:color="auto"/>
            </w:tcBorders>
          </w:tcPr>
          <w:p w:rsidR="00881AC7" w:rsidRPr="00881AC7" w:rsidRDefault="00881AC7" w:rsidP="00757CA2">
            <w:pPr>
              <w:spacing w:after="252"/>
              <w:rPr>
                <w:rFonts w:ascii="Times New Roman" w:hAnsi="Times New Roman" w:cs="Times New Roman"/>
                <w:sz w:val="24"/>
                <w:szCs w:val="24"/>
              </w:rPr>
            </w:pPr>
            <w:r w:rsidRPr="00881AC7">
              <w:rPr>
                <w:rFonts w:ascii="Times New Roman" w:hAnsi="Times New Roman" w:cs="Times New Roman"/>
                <w:sz w:val="24"/>
                <w:szCs w:val="24"/>
              </w:rPr>
              <w:t>Cap de fer – Edough</w:t>
            </w:r>
          </w:p>
        </w:tc>
        <w:tc>
          <w:tcPr>
            <w:tcW w:w="4715" w:type="dxa"/>
            <w:tcBorders>
              <w:top w:val="single" w:sz="2" w:space="0" w:color="auto"/>
              <w:left w:val="single" w:sz="2" w:space="0" w:color="auto"/>
              <w:bottom w:val="single" w:sz="2" w:space="0" w:color="auto"/>
              <w:right w:val="single" w:sz="2" w:space="0" w:color="auto"/>
            </w:tcBorders>
          </w:tcPr>
          <w:p w:rsidR="00881AC7" w:rsidRPr="00881AC7" w:rsidRDefault="00881AC7" w:rsidP="00757CA2">
            <w:pPr>
              <w:rPr>
                <w:rFonts w:ascii="Times New Roman" w:hAnsi="Times New Roman" w:cs="Times New Roman"/>
                <w:sz w:val="24"/>
                <w:szCs w:val="24"/>
              </w:rPr>
            </w:pPr>
            <w:r w:rsidRPr="00881AC7">
              <w:rPr>
                <w:rFonts w:ascii="Times New Roman" w:hAnsi="Times New Roman" w:cs="Times New Roman"/>
                <w:sz w:val="24"/>
                <w:szCs w:val="24"/>
              </w:rPr>
              <w:t>Granites potassiques</w:t>
            </w:r>
          </w:p>
          <w:p w:rsidR="00881AC7" w:rsidRPr="00881AC7" w:rsidRDefault="00881AC7" w:rsidP="00757CA2">
            <w:pPr>
              <w:rPr>
                <w:rFonts w:ascii="Times New Roman" w:hAnsi="Times New Roman" w:cs="Times New Roman"/>
                <w:sz w:val="24"/>
                <w:szCs w:val="24"/>
              </w:rPr>
            </w:pPr>
            <w:r w:rsidRPr="00881AC7">
              <w:rPr>
                <w:rFonts w:ascii="Times New Roman" w:hAnsi="Times New Roman" w:cs="Times New Roman"/>
                <w:sz w:val="24"/>
                <w:szCs w:val="24"/>
              </w:rPr>
              <w:t>Gabbros</w:t>
            </w:r>
          </w:p>
        </w:tc>
        <w:tc>
          <w:tcPr>
            <w:tcW w:w="1952" w:type="dxa"/>
            <w:tcBorders>
              <w:top w:val="single" w:sz="2" w:space="0" w:color="auto"/>
              <w:left w:val="single" w:sz="2" w:space="0" w:color="auto"/>
              <w:bottom w:val="single" w:sz="2" w:space="0" w:color="auto"/>
              <w:right w:val="single" w:sz="2" w:space="0" w:color="auto"/>
            </w:tcBorders>
          </w:tcPr>
          <w:p w:rsidR="00881AC7" w:rsidRPr="00881AC7" w:rsidRDefault="00881AC7" w:rsidP="00757CA2">
            <w:pPr>
              <w:spacing w:after="252"/>
              <w:rPr>
                <w:rFonts w:ascii="Times New Roman" w:hAnsi="Times New Roman" w:cs="Times New Roman"/>
                <w:sz w:val="24"/>
                <w:szCs w:val="24"/>
              </w:rPr>
            </w:pPr>
            <w:r w:rsidRPr="00881AC7">
              <w:rPr>
                <w:rFonts w:ascii="Times New Roman" w:hAnsi="Times New Roman" w:cs="Times New Roman"/>
                <w:sz w:val="24"/>
                <w:szCs w:val="24"/>
              </w:rPr>
              <w:t>15,1 – 15,9 Ma</w:t>
            </w:r>
          </w:p>
        </w:tc>
      </w:tr>
      <w:tr w:rsidR="00757CA2" w:rsidRPr="00881AC7" w:rsidTr="00757CA2">
        <w:trPr>
          <w:trHeight w:hRule="exact" w:val="419"/>
          <w:jc w:val="center"/>
        </w:trPr>
        <w:tc>
          <w:tcPr>
            <w:tcW w:w="2206" w:type="dxa"/>
            <w:tcBorders>
              <w:top w:val="single" w:sz="2" w:space="0" w:color="auto"/>
              <w:left w:val="single" w:sz="2" w:space="0" w:color="auto"/>
              <w:bottom w:val="single" w:sz="2" w:space="0" w:color="auto"/>
              <w:right w:val="single" w:sz="2" w:space="0" w:color="auto"/>
            </w:tcBorders>
          </w:tcPr>
          <w:p w:rsidR="00881AC7" w:rsidRPr="00881AC7" w:rsidRDefault="00881AC7" w:rsidP="00757CA2">
            <w:pPr>
              <w:spacing w:after="252"/>
              <w:rPr>
                <w:rFonts w:ascii="Times New Roman" w:hAnsi="Times New Roman" w:cs="Times New Roman"/>
                <w:sz w:val="24"/>
                <w:szCs w:val="24"/>
              </w:rPr>
            </w:pPr>
            <w:r w:rsidRPr="00881AC7">
              <w:rPr>
                <w:rFonts w:ascii="Times New Roman" w:hAnsi="Times New Roman" w:cs="Times New Roman"/>
                <w:sz w:val="24"/>
                <w:szCs w:val="24"/>
              </w:rPr>
              <w:t>Filfila</w:t>
            </w:r>
          </w:p>
        </w:tc>
        <w:tc>
          <w:tcPr>
            <w:tcW w:w="4715" w:type="dxa"/>
            <w:tcBorders>
              <w:top w:val="single" w:sz="2" w:space="0" w:color="auto"/>
              <w:left w:val="single" w:sz="2" w:space="0" w:color="auto"/>
              <w:bottom w:val="single" w:sz="2" w:space="0" w:color="auto"/>
              <w:right w:val="single" w:sz="2" w:space="0" w:color="auto"/>
            </w:tcBorders>
          </w:tcPr>
          <w:p w:rsidR="00881AC7" w:rsidRPr="00881AC7" w:rsidRDefault="00881AC7" w:rsidP="00757CA2">
            <w:pPr>
              <w:rPr>
                <w:rFonts w:ascii="Times New Roman" w:hAnsi="Times New Roman" w:cs="Times New Roman"/>
                <w:sz w:val="24"/>
                <w:szCs w:val="24"/>
              </w:rPr>
            </w:pPr>
            <w:r w:rsidRPr="00881AC7">
              <w:rPr>
                <w:rFonts w:ascii="Times New Roman" w:hAnsi="Times New Roman" w:cs="Times New Roman"/>
                <w:sz w:val="24"/>
                <w:szCs w:val="24"/>
              </w:rPr>
              <w:t>Granite</w:t>
            </w:r>
          </w:p>
          <w:p w:rsidR="00881AC7" w:rsidRPr="00881AC7" w:rsidRDefault="00881AC7" w:rsidP="00757CA2">
            <w:pPr>
              <w:rPr>
                <w:rFonts w:ascii="Times New Roman" w:hAnsi="Times New Roman" w:cs="Times New Roman"/>
                <w:sz w:val="24"/>
                <w:szCs w:val="24"/>
              </w:rPr>
            </w:pPr>
            <w:r w:rsidRPr="00881AC7">
              <w:rPr>
                <w:rFonts w:ascii="Times New Roman" w:hAnsi="Times New Roman" w:cs="Times New Roman"/>
                <w:sz w:val="24"/>
                <w:szCs w:val="24"/>
              </w:rPr>
              <w:t>shoshonitique</w:t>
            </w:r>
          </w:p>
        </w:tc>
        <w:tc>
          <w:tcPr>
            <w:tcW w:w="1952" w:type="dxa"/>
            <w:tcBorders>
              <w:top w:val="single" w:sz="2" w:space="0" w:color="auto"/>
              <w:left w:val="single" w:sz="2" w:space="0" w:color="auto"/>
              <w:bottom w:val="single" w:sz="2" w:space="0" w:color="auto"/>
              <w:right w:val="single" w:sz="2" w:space="0" w:color="auto"/>
            </w:tcBorders>
          </w:tcPr>
          <w:p w:rsidR="00881AC7" w:rsidRPr="00881AC7" w:rsidRDefault="00881AC7" w:rsidP="00757CA2">
            <w:pPr>
              <w:spacing w:after="252"/>
              <w:rPr>
                <w:rFonts w:ascii="Times New Roman" w:hAnsi="Times New Roman" w:cs="Times New Roman"/>
                <w:sz w:val="24"/>
                <w:szCs w:val="24"/>
              </w:rPr>
            </w:pPr>
            <w:r w:rsidRPr="00881AC7">
              <w:rPr>
                <w:rFonts w:ascii="Times New Roman" w:hAnsi="Times New Roman" w:cs="Times New Roman"/>
                <w:sz w:val="24"/>
                <w:szCs w:val="24"/>
              </w:rPr>
              <w:t>15,3 Ma</w:t>
            </w:r>
          </w:p>
        </w:tc>
      </w:tr>
      <w:tr w:rsidR="00757CA2" w:rsidRPr="00881AC7" w:rsidTr="00757CA2">
        <w:trPr>
          <w:trHeight w:hRule="exact" w:val="425"/>
          <w:jc w:val="center"/>
        </w:trPr>
        <w:tc>
          <w:tcPr>
            <w:tcW w:w="2206" w:type="dxa"/>
            <w:tcBorders>
              <w:top w:val="single" w:sz="2" w:space="0" w:color="auto"/>
              <w:left w:val="single" w:sz="2" w:space="0" w:color="auto"/>
              <w:bottom w:val="single" w:sz="2" w:space="0" w:color="auto"/>
              <w:right w:val="single" w:sz="2" w:space="0" w:color="auto"/>
            </w:tcBorders>
          </w:tcPr>
          <w:p w:rsidR="00881AC7" w:rsidRPr="00881AC7" w:rsidRDefault="00881AC7" w:rsidP="00757CA2">
            <w:pPr>
              <w:spacing w:after="828"/>
              <w:rPr>
                <w:rFonts w:ascii="Times New Roman" w:hAnsi="Times New Roman" w:cs="Times New Roman"/>
                <w:sz w:val="24"/>
                <w:szCs w:val="24"/>
              </w:rPr>
            </w:pPr>
            <w:r w:rsidRPr="00881AC7">
              <w:rPr>
                <w:rFonts w:ascii="Times New Roman" w:hAnsi="Times New Roman" w:cs="Times New Roman"/>
                <w:sz w:val="24"/>
                <w:szCs w:val="24"/>
              </w:rPr>
              <w:t>Cap Bougaroun</w:t>
            </w:r>
          </w:p>
        </w:tc>
        <w:tc>
          <w:tcPr>
            <w:tcW w:w="4715" w:type="dxa"/>
            <w:tcBorders>
              <w:top w:val="single" w:sz="2" w:space="0" w:color="auto"/>
              <w:left w:val="single" w:sz="2" w:space="0" w:color="auto"/>
              <w:bottom w:val="single" w:sz="2" w:space="0" w:color="auto"/>
              <w:right w:val="single" w:sz="2" w:space="0" w:color="auto"/>
            </w:tcBorders>
          </w:tcPr>
          <w:p w:rsidR="00881AC7" w:rsidRPr="00881AC7" w:rsidRDefault="003E06C2" w:rsidP="00757CA2">
            <w:pPr>
              <w:rPr>
                <w:rFonts w:ascii="Times New Roman" w:hAnsi="Times New Roman" w:cs="Times New Roman"/>
                <w:sz w:val="24"/>
                <w:szCs w:val="24"/>
              </w:rPr>
            </w:pPr>
            <w:r>
              <w:rPr>
                <w:rFonts w:ascii="Times New Roman" w:hAnsi="Times New Roman" w:cs="Times New Roman"/>
                <w:sz w:val="24"/>
                <w:szCs w:val="24"/>
              </w:rPr>
              <w:t>Granites,</w:t>
            </w:r>
            <w:r w:rsidR="00881AC7" w:rsidRPr="00881AC7">
              <w:rPr>
                <w:rFonts w:ascii="Times New Roman" w:hAnsi="Times New Roman" w:cs="Times New Roman"/>
                <w:sz w:val="24"/>
                <w:szCs w:val="24"/>
              </w:rPr>
              <w:t>microgranites.</w:t>
            </w:r>
            <w:r w:rsidR="00757CA2">
              <w:rPr>
                <w:rFonts w:ascii="Times New Roman" w:hAnsi="Times New Roman" w:cs="Times New Roman"/>
                <w:sz w:val="24"/>
                <w:szCs w:val="24"/>
              </w:rPr>
              <w:t xml:space="preserve"> Rhyolites</w:t>
            </w:r>
            <w:r w:rsidR="00757CA2">
              <w:rPr>
                <w:rFonts w:ascii="Times New Roman" w:hAnsi="Times New Roman" w:cs="Times New Roman"/>
                <w:sz w:val="24"/>
                <w:szCs w:val="24"/>
              </w:rPr>
              <w:noBreakHyphen/>
            </w:r>
            <w:r w:rsidR="00881AC7" w:rsidRPr="00881AC7">
              <w:rPr>
                <w:rFonts w:ascii="Times New Roman" w:hAnsi="Times New Roman" w:cs="Times New Roman"/>
                <w:sz w:val="24"/>
                <w:szCs w:val="24"/>
              </w:rPr>
              <w:t>Ignimbrites</w:t>
            </w:r>
          </w:p>
        </w:tc>
        <w:tc>
          <w:tcPr>
            <w:tcW w:w="1952" w:type="dxa"/>
            <w:tcBorders>
              <w:top w:val="single" w:sz="2" w:space="0" w:color="auto"/>
              <w:left w:val="single" w:sz="2" w:space="0" w:color="auto"/>
              <w:bottom w:val="single" w:sz="2" w:space="0" w:color="auto"/>
              <w:right w:val="single" w:sz="2" w:space="0" w:color="auto"/>
            </w:tcBorders>
          </w:tcPr>
          <w:p w:rsidR="00881AC7" w:rsidRPr="00881AC7" w:rsidRDefault="00881AC7" w:rsidP="00757CA2">
            <w:pPr>
              <w:spacing w:after="828"/>
              <w:rPr>
                <w:rFonts w:ascii="Times New Roman" w:hAnsi="Times New Roman" w:cs="Times New Roman"/>
                <w:sz w:val="24"/>
                <w:szCs w:val="24"/>
              </w:rPr>
            </w:pPr>
            <w:r w:rsidRPr="00881AC7">
              <w:rPr>
                <w:rFonts w:ascii="Times New Roman" w:hAnsi="Times New Roman" w:cs="Times New Roman"/>
                <w:sz w:val="24"/>
                <w:szCs w:val="24"/>
              </w:rPr>
              <w:t>15,2 – 16,4 Ma</w:t>
            </w:r>
          </w:p>
        </w:tc>
      </w:tr>
      <w:tr w:rsidR="00757CA2" w:rsidRPr="00881AC7" w:rsidTr="00757CA2">
        <w:trPr>
          <w:trHeight w:hRule="exact" w:val="988"/>
          <w:jc w:val="center"/>
        </w:trPr>
        <w:tc>
          <w:tcPr>
            <w:tcW w:w="2206" w:type="dxa"/>
            <w:tcBorders>
              <w:top w:val="single" w:sz="2" w:space="0" w:color="auto"/>
              <w:left w:val="single" w:sz="2" w:space="0" w:color="auto"/>
              <w:bottom w:val="single" w:sz="2" w:space="0" w:color="auto"/>
              <w:right w:val="single" w:sz="2" w:space="0" w:color="auto"/>
            </w:tcBorders>
          </w:tcPr>
          <w:p w:rsidR="00881AC7" w:rsidRPr="00881AC7" w:rsidRDefault="00881AC7" w:rsidP="00757CA2">
            <w:pPr>
              <w:spacing w:after="1080"/>
              <w:rPr>
                <w:rFonts w:ascii="Times New Roman" w:hAnsi="Times New Roman" w:cs="Times New Roman"/>
                <w:sz w:val="24"/>
                <w:szCs w:val="24"/>
              </w:rPr>
            </w:pPr>
            <w:r w:rsidRPr="00881AC7">
              <w:rPr>
                <w:rFonts w:ascii="Times New Roman" w:hAnsi="Times New Roman" w:cs="Times New Roman"/>
                <w:sz w:val="24"/>
                <w:szCs w:val="24"/>
              </w:rPr>
              <w:t>Beni Touffout-El Milia</w:t>
            </w:r>
          </w:p>
        </w:tc>
        <w:tc>
          <w:tcPr>
            <w:tcW w:w="4715" w:type="dxa"/>
            <w:tcBorders>
              <w:top w:val="single" w:sz="2" w:space="0" w:color="auto"/>
              <w:left w:val="single" w:sz="2" w:space="0" w:color="auto"/>
              <w:bottom w:val="single" w:sz="2" w:space="0" w:color="auto"/>
              <w:right w:val="single" w:sz="2" w:space="0" w:color="auto"/>
            </w:tcBorders>
          </w:tcPr>
          <w:p w:rsidR="00757CA2" w:rsidRDefault="00757CA2" w:rsidP="00757CA2">
            <w:pPr>
              <w:spacing w:after="120"/>
              <w:rPr>
                <w:rFonts w:ascii="Times New Roman" w:hAnsi="Times New Roman" w:cs="Times New Roman"/>
                <w:sz w:val="24"/>
                <w:szCs w:val="24"/>
              </w:rPr>
            </w:pPr>
            <w:r>
              <w:rPr>
                <w:rFonts w:ascii="Times New Roman" w:hAnsi="Times New Roman" w:cs="Times New Roman"/>
                <w:sz w:val="24"/>
                <w:szCs w:val="24"/>
              </w:rPr>
              <w:t xml:space="preserve">Granodiorites- </w:t>
            </w:r>
            <w:r w:rsidR="00881AC7" w:rsidRPr="00881AC7">
              <w:rPr>
                <w:rFonts w:ascii="Times New Roman" w:hAnsi="Times New Roman" w:cs="Times New Roman"/>
                <w:sz w:val="24"/>
                <w:szCs w:val="24"/>
              </w:rPr>
              <w:t>monzogranites</w:t>
            </w:r>
            <w:r>
              <w:rPr>
                <w:rFonts w:ascii="Times New Roman" w:hAnsi="Times New Roman" w:cs="Times New Roman"/>
                <w:sz w:val="24"/>
                <w:szCs w:val="24"/>
              </w:rPr>
              <w:t xml:space="preserve"> (Beni T</w:t>
            </w:r>
            <w:r w:rsidR="00881AC7" w:rsidRPr="00881AC7">
              <w:rPr>
                <w:rFonts w:ascii="Times New Roman" w:hAnsi="Times New Roman" w:cs="Times New Roman"/>
                <w:sz w:val="24"/>
                <w:szCs w:val="24"/>
              </w:rPr>
              <w:t>Touffout)</w:t>
            </w:r>
          </w:p>
          <w:p w:rsidR="00881AC7" w:rsidRPr="00881AC7" w:rsidRDefault="00757CA2" w:rsidP="00757CA2">
            <w:pPr>
              <w:spacing w:after="120"/>
              <w:rPr>
                <w:rFonts w:ascii="Times New Roman" w:hAnsi="Times New Roman" w:cs="Times New Roman"/>
                <w:sz w:val="24"/>
                <w:szCs w:val="24"/>
              </w:rPr>
            </w:pPr>
            <w:r>
              <w:rPr>
                <w:rFonts w:ascii="Times New Roman" w:hAnsi="Times New Roman" w:cs="Times New Roman"/>
                <w:sz w:val="24"/>
                <w:szCs w:val="24"/>
              </w:rPr>
              <w:t xml:space="preserve">Microgranites </w:t>
            </w:r>
            <w:r w:rsidR="00881AC7" w:rsidRPr="00881AC7">
              <w:rPr>
                <w:rFonts w:ascii="Times New Roman" w:hAnsi="Times New Roman" w:cs="Times New Roman"/>
                <w:sz w:val="24"/>
                <w:szCs w:val="24"/>
              </w:rPr>
              <w:t>(El Milia)</w:t>
            </w:r>
          </w:p>
        </w:tc>
        <w:tc>
          <w:tcPr>
            <w:tcW w:w="1952" w:type="dxa"/>
            <w:tcBorders>
              <w:top w:val="single" w:sz="2" w:space="0" w:color="auto"/>
              <w:left w:val="single" w:sz="2" w:space="0" w:color="auto"/>
              <w:bottom w:val="single" w:sz="2" w:space="0" w:color="auto"/>
              <w:right w:val="single" w:sz="2" w:space="0" w:color="auto"/>
            </w:tcBorders>
          </w:tcPr>
          <w:p w:rsidR="00881AC7" w:rsidRPr="00881AC7" w:rsidRDefault="00881AC7" w:rsidP="00757CA2">
            <w:pPr>
              <w:spacing w:after="1080"/>
              <w:rPr>
                <w:rFonts w:ascii="Times New Roman" w:hAnsi="Times New Roman" w:cs="Times New Roman"/>
                <w:sz w:val="24"/>
                <w:szCs w:val="24"/>
              </w:rPr>
            </w:pPr>
            <w:r w:rsidRPr="00881AC7">
              <w:rPr>
                <w:rFonts w:ascii="Times New Roman" w:hAnsi="Times New Roman" w:cs="Times New Roman"/>
                <w:sz w:val="24"/>
                <w:szCs w:val="24"/>
              </w:rPr>
              <w:t>16,2 Ma</w:t>
            </w:r>
          </w:p>
        </w:tc>
      </w:tr>
      <w:tr w:rsidR="00757CA2" w:rsidRPr="00881AC7" w:rsidTr="00757CA2">
        <w:trPr>
          <w:trHeight w:hRule="exact" w:val="430"/>
          <w:jc w:val="center"/>
        </w:trPr>
        <w:tc>
          <w:tcPr>
            <w:tcW w:w="2206" w:type="dxa"/>
            <w:tcBorders>
              <w:top w:val="single" w:sz="2" w:space="0" w:color="auto"/>
              <w:left w:val="single" w:sz="2" w:space="0" w:color="auto"/>
              <w:bottom w:val="single" w:sz="2" w:space="0" w:color="auto"/>
              <w:right w:val="single" w:sz="2" w:space="0" w:color="auto"/>
            </w:tcBorders>
          </w:tcPr>
          <w:p w:rsidR="00881AC7" w:rsidRPr="00881AC7" w:rsidRDefault="00881AC7" w:rsidP="00757CA2">
            <w:pPr>
              <w:spacing w:after="540"/>
              <w:rPr>
                <w:rFonts w:ascii="Times New Roman" w:hAnsi="Times New Roman" w:cs="Times New Roman"/>
                <w:sz w:val="24"/>
                <w:szCs w:val="24"/>
              </w:rPr>
            </w:pPr>
            <w:r w:rsidRPr="00881AC7">
              <w:rPr>
                <w:rFonts w:ascii="Times New Roman" w:hAnsi="Times New Roman" w:cs="Times New Roman"/>
                <w:sz w:val="24"/>
                <w:szCs w:val="24"/>
              </w:rPr>
              <w:t>El Aouana</w:t>
            </w:r>
          </w:p>
        </w:tc>
        <w:tc>
          <w:tcPr>
            <w:tcW w:w="4715" w:type="dxa"/>
            <w:tcBorders>
              <w:top w:val="single" w:sz="2" w:space="0" w:color="auto"/>
              <w:left w:val="single" w:sz="2" w:space="0" w:color="auto"/>
              <w:bottom w:val="single" w:sz="2" w:space="0" w:color="auto"/>
              <w:right w:val="single" w:sz="2" w:space="0" w:color="auto"/>
            </w:tcBorders>
          </w:tcPr>
          <w:p w:rsidR="00881AC7" w:rsidRPr="00881AC7" w:rsidRDefault="003E06C2" w:rsidP="00757CA2">
            <w:pPr>
              <w:rPr>
                <w:rFonts w:ascii="Times New Roman" w:hAnsi="Times New Roman" w:cs="Times New Roman"/>
                <w:sz w:val="24"/>
                <w:szCs w:val="24"/>
              </w:rPr>
            </w:pPr>
            <w:r>
              <w:rPr>
                <w:rFonts w:ascii="Times New Roman" w:hAnsi="Times New Roman" w:cs="Times New Roman"/>
                <w:sz w:val="24"/>
                <w:szCs w:val="24"/>
              </w:rPr>
              <w:t xml:space="preserve">Dacites et </w:t>
            </w:r>
            <w:r w:rsidR="00881AC7" w:rsidRPr="00881AC7">
              <w:rPr>
                <w:rFonts w:ascii="Times New Roman" w:hAnsi="Times New Roman" w:cs="Times New Roman"/>
                <w:sz w:val="24"/>
                <w:szCs w:val="24"/>
              </w:rPr>
              <w:t>rhyodacitespotassiques</w:t>
            </w:r>
          </w:p>
        </w:tc>
        <w:tc>
          <w:tcPr>
            <w:tcW w:w="1952" w:type="dxa"/>
            <w:tcBorders>
              <w:top w:val="single" w:sz="2" w:space="0" w:color="auto"/>
              <w:left w:val="single" w:sz="2" w:space="0" w:color="auto"/>
              <w:bottom w:val="single" w:sz="2" w:space="0" w:color="auto"/>
              <w:right w:val="single" w:sz="2" w:space="0" w:color="auto"/>
            </w:tcBorders>
          </w:tcPr>
          <w:p w:rsidR="00881AC7" w:rsidRPr="00881AC7" w:rsidRDefault="00881AC7" w:rsidP="00757CA2">
            <w:pPr>
              <w:spacing w:after="540"/>
              <w:rPr>
                <w:rFonts w:ascii="Times New Roman" w:hAnsi="Times New Roman" w:cs="Times New Roman"/>
                <w:sz w:val="24"/>
                <w:szCs w:val="24"/>
              </w:rPr>
            </w:pPr>
            <w:r w:rsidRPr="00881AC7">
              <w:rPr>
                <w:rFonts w:ascii="Times New Roman" w:hAnsi="Times New Roman" w:cs="Times New Roman"/>
                <w:sz w:val="24"/>
                <w:szCs w:val="24"/>
              </w:rPr>
              <w:t>14,5 – 15,9 Ma</w:t>
            </w:r>
          </w:p>
        </w:tc>
      </w:tr>
      <w:tr w:rsidR="00757CA2" w:rsidRPr="00881AC7" w:rsidTr="00757CA2">
        <w:trPr>
          <w:trHeight w:hRule="exact" w:val="422"/>
          <w:jc w:val="center"/>
        </w:trPr>
        <w:tc>
          <w:tcPr>
            <w:tcW w:w="2206" w:type="dxa"/>
            <w:tcBorders>
              <w:top w:val="single" w:sz="2" w:space="0" w:color="auto"/>
              <w:left w:val="single" w:sz="2" w:space="0" w:color="auto"/>
              <w:bottom w:val="single" w:sz="2" w:space="0" w:color="auto"/>
              <w:right w:val="single" w:sz="2" w:space="0" w:color="auto"/>
            </w:tcBorders>
          </w:tcPr>
          <w:p w:rsidR="00881AC7" w:rsidRPr="00881AC7" w:rsidRDefault="00881AC7" w:rsidP="00757CA2">
            <w:pPr>
              <w:spacing w:after="252"/>
              <w:rPr>
                <w:rFonts w:ascii="Times New Roman" w:hAnsi="Times New Roman" w:cs="Times New Roman"/>
                <w:sz w:val="24"/>
                <w:szCs w:val="24"/>
              </w:rPr>
            </w:pPr>
            <w:r w:rsidRPr="00881AC7">
              <w:rPr>
                <w:rFonts w:ascii="Times New Roman" w:hAnsi="Times New Roman" w:cs="Times New Roman"/>
                <w:sz w:val="24"/>
                <w:szCs w:val="24"/>
              </w:rPr>
              <w:t>Béjaia-Amizour</w:t>
            </w:r>
          </w:p>
        </w:tc>
        <w:tc>
          <w:tcPr>
            <w:tcW w:w="4715" w:type="dxa"/>
            <w:tcBorders>
              <w:top w:val="single" w:sz="2" w:space="0" w:color="auto"/>
              <w:left w:val="single" w:sz="2" w:space="0" w:color="auto"/>
              <w:bottom w:val="single" w:sz="2" w:space="0" w:color="auto"/>
              <w:right w:val="single" w:sz="2" w:space="0" w:color="auto"/>
            </w:tcBorders>
          </w:tcPr>
          <w:p w:rsidR="00881AC7" w:rsidRPr="00881AC7" w:rsidRDefault="00881AC7" w:rsidP="00757CA2">
            <w:pPr>
              <w:spacing w:after="0"/>
              <w:rPr>
                <w:rFonts w:ascii="Times New Roman" w:hAnsi="Times New Roman" w:cs="Times New Roman"/>
                <w:sz w:val="24"/>
                <w:szCs w:val="24"/>
              </w:rPr>
            </w:pPr>
            <w:r w:rsidRPr="00881AC7">
              <w:rPr>
                <w:rFonts w:ascii="Times New Roman" w:hAnsi="Times New Roman" w:cs="Times New Roman"/>
                <w:sz w:val="24"/>
                <w:szCs w:val="24"/>
              </w:rPr>
              <w:t>Granitesshoshonitiques</w:t>
            </w:r>
          </w:p>
        </w:tc>
        <w:tc>
          <w:tcPr>
            <w:tcW w:w="1952" w:type="dxa"/>
            <w:tcBorders>
              <w:top w:val="single" w:sz="2" w:space="0" w:color="auto"/>
              <w:left w:val="single" w:sz="2" w:space="0" w:color="auto"/>
              <w:bottom w:val="single" w:sz="2" w:space="0" w:color="auto"/>
              <w:right w:val="single" w:sz="2" w:space="0" w:color="auto"/>
            </w:tcBorders>
          </w:tcPr>
          <w:p w:rsidR="00881AC7" w:rsidRPr="00881AC7" w:rsidRDefault="00881AC7" w:rsidP="00757CA2">
            <w:pPr>
              <w:spacing w:after="252"/>
              <w:rPr>
                <w:rFonts w:ascii="Times New Roman" w:hAnsi="Times New Roman" w:cs="Times New Roman"/>
                <w:sz w:val="24"/>
                <w:szCs w:val="24"/>
              </w:rPr>
            </w:pPr>
            <w:r w:rsidRPr="00881AC7">
              <w:rPr>
                <w:rFonts w:ascii="Times New Roman" w:hAnsi="Times New Roman" w:cs="Times New Roman"/>
                <w:sz w:val="24"/>
                <w:szCs w:val="24"/>
              </w:rPr>
              <w:t>15,3- 16,2 Ma</w:t>
            </w:r>
          </w:p>
        </w:tc>
      </w:tr>
      <w:tr w:rsidR="00757CA2" w:rsidRPr="00881AC7" w:rsidTr="00757CA2">
        <w:trPr>
          <w:trHeight w:hRule="exact" w:val="854"/>
          <w:jc w:val="center"/>
        </w:trPr>
        <w:tc>
          <w:tcPr>
            <w:tcW w:w="2206" w:type="dxa"/>
            <w:tcBorders>
              <w:top w:val="single" w:sz="2" w:space="0" w:color="auto"/>
              <w:left w:val="single" w:sz="2" w:space="0" w:color="auto"/>
              <w:bottom w:val="single" w:sz="2" w:space="0" w:color="auto"/>
              <w:right w:val="single" w:sz="2" w:space="0" w:color="auto"/>
            </w:tcBorders>
          </w:tcPr>
          <w:p w:rsidR="00881AC7" w:rsidRPr="00881AC7" w:rsidRDefault="00881AC7" w:rsidP="00757CA2">
            <w:pPr>
              <w:spacing w:after="1080"/>
              <w:rPr>
                <w:rFonts w:ascii="Times New Roman" w:hAnsi="Times New Roman" w:cs="Times New Roman"/>
                <w:sz w:val="24"/>
                <w:szCs w:val="24"/>
              </w:rPr>
            </w:pPr>
            <w:r w:rsidRPr="00881AC7">
              <w:rPr>
                <w:rFonts w:ascii="Times New Roman" w:hAnsi="Times New Roman" w:cs="Times New Roman"/>
                <w:sz w:val="24"/>
                <w:szCs w:val="24"/>
              </w:rPr>
              <w:t>Algérois</w:t>
            </w:r>
          </w:p>
        </w:tc>
        <w:tc>
          <w:tcPr>
            <w:tcW w:w="4715" w:type="dxa"/>
            <w:tcBorders>
              <w:top w:val="single" w:sz="2" w:space="0" w:color="auto"/>
              <w:left w:val="single" w:sz="2" w:space="0" w:color="auto"/>
              <w:bottom w:val="single" w:sz="2" w:space="0" w:color="auto"/>
              <w:right w:val="single" w:sz="2" w:space="0" w:color="auto"/>
            </w:tcBorders>
          </w:tcPr>
          <w:p w:rsidR="00881AC7" w:rsidRPr="00881AC7" w:rsidRDefault="00881AC7" w:rsidP="00757CA2">
            <w:pPr>
              <w:spacing w:after="120"/>
              <w:rPr>
                <w:rFonts w:ascii="Times New Roman" w:hAnsi="Times New Roman" w:cs="Times New Roman"/>
                <w:sz w:val="24"/>
                <w:szCs w:val="24"/>
              </w:rPr>
            </w:pPr>
            <w:r w:rsidRPr="00881AC7">
              <w:rPr>
                <w:rFonts w:ascii="Times New Roman" w:hAnsi="Times New Roman" w:cs="Times New Roman"/>
                <w:sz w:val="24"/>
                <w:szCs w:val="24"/>
              </w:rPr>
              <w:t>Basaltes faiblementpotassiques</w:t>
            </w:r>
          </w:p>
          <w:p w:rsidR="00881AC7" w:rsidRPr="00881AC7" w:rsidRDefault="00881AC7" w:rsidP="00757CA2">
            <w:pPr>
              <w:spacing w:after="120"/>
              <w:rPr>
                <w:rFonts w:ascii="Times New Roman" w:hAnsi="Times New Roman" w:cs="Times New Roman"/>
                <w:sz w:val="24"/>
                <w:szCs w:val="24"/>
              </w:rPr>
            </w:pPr>
            <w:r w:rsidRPr="00881AC7">
              <w:rPr>
                <w:rFonts w:ascii="Times New Roman" w:hAnsi="Times New Roman" w:cs="Times New Roman"/>
                <w:sz w:val="24"/>
                <w:szCs w:val="24"/>
              </w:rPr>
              <w:t>Granites potassiques</w:t>
            </w:r>
          </w:p>
        </w:tc>
        <w:tc>
          <w:tcPr>
            <w:tcW w:w="1952" w:type="dxa"/>
            <w:tcBorders>
              <w:top w:val="single" w:sz="2" w:space="0" w:color="auto"/>
              <w:left w:val="single" w:sz="2" w:space="0" w:color="auto"/>
              <w:bottom w:val="single" w:sz="2" w:space="0" w:color="auto"/>
              <w:right w:val="single" w:sz="2" w:space="0" w:color="auto"/>
            </w:tcBorders>
          </w:tcPr>
          <w:p w:rsidR="003E06C2" w:rsidRDefault="00881AC7" w:rsidP="00757CA2">
            <w:pPr>
              <w:spacing w:after="120"/>
              <w:rPr>
                <w:rFonts w:ascii="Times New Roman" w:hAnsi="Times New Roman" w:cs="Times New Roman"/>
                <w:sz w:val="24"/>
                <w:szCs w:val="24"/>
              </w:rPr>
            </w:pPr>
            <w:r w:rsidRPr="00881AC7">
              <w:rPr>
                <w:rFonts w:ascii="Times New Roman" w:hAnsi="Times New Roman" w:cs="Times New Roman"/>
                <w:sz w:val="24"/>
                <w:szCs w:val="24"/>
              </w:rPr>
              <w:t>11,6 – 15,6 Ma</w:t>
            </w:r>
          </w:p>
          <w:p w:rsidR="00881AC7" w:rsidRPr="00881AC7" w:rsidRDefault="00881AC7" w:rsidP="00757CA2">
            <w:pPr>
              <w:spacing w:after="120"/>
              <w:rPr>
                <w:rFonts w:ascii="Times New Roman" w:hAnsi="Times New Roman" w:cs="Times New Roman"/>
                <w:sz w:val="24"/>
                <w:szCs w:val="24"/>
              </w:rPr>
            </w:pPr>
            <w:r w:rsidRPr="00881AC7">
              <w:rPr>
                <w:rFonts w:ascii="Times New Roman" w:hAnsi="Times New Roman" w:cs="Times New Roman"/>
                <w:sz w:val="24"/>
                <w:szCs w:val="24"/>
              </w:rPr>
              <w:t>13,9 – 16 Ma</w:t>
            </w:r>
          </w:p>
        </w:tc>
      </w:tr>
      <w:tr w:rsidR="00757CA2" w:rsidRPr="00881AC7" w:rsidTr="00757CA2">
        <w:trPr>
          <w:trHeight w:hRule="exact" w:val="426"/>
          <w:jc w:val="center"/>
        </w:trPr>
        <w:tc>
          <w:tcPr>
            <w:tcW w:w="2206" w:type="dxa"/>
            <w:tcBorders>
              <w:top w:val="single" w:sz="2" w:space="0" w:color="auto"/>
              <w:left w:val="single" w:sz="2" w:space="0" w:color="auto"/>
              <w:bottom w:val="single" w:sz="2" w:space="0" w:color="auto"/>
              <w:right w:val="single" w:sz="2" w:space="0" w:color="auto"/>
            </w:tcBorders>
          </w:tcPr>
          <w:p w:rsidR="00881AC7" w:rsidRPr="00881AC7" w:rsidRDefault="00881AC7" w:rsidP="00757CA2">
            <w:pPr>
              <w:spacing w:after="252"/>
              <w:rPr>
                <w:rFonts w:ascii="Times New Roman" w:hAnsi="Times New Roman" w:cs="Times New Roman"/>
                <w:sz w:val="24"/>
                <w:szCs w:val="24"/>
              </w:rPr>
            </w:pPr>
            <w:r w:rsidRPr="00881AC7">
              <w:rPr>
                <w:rFonts w:ascii="Times New Roman" w:hAnsi="Times New Roman" w:cs="Times New Roman"/>
                <w:sz w:val="24"/>
                <w:szCs w:val="24"/>
              </w:rPr>
              <w:t>Cherchell</w:t>
            </w:r>
          </w:p>
        </w:tc>
        <w:tc>
          <w:tcPr>
            <w:tcW w:w="4715" w:type="dxa"/>
            <w:tcBorders>
              <w:top w:val="single" w:sz="2" w:space="0" w:color="auto"/>
              <w:left w:val="single" w:sz="2" w:space="0" w:color="auto"/>
              <w:bottom w:val="single" w:sz="2" w:space="0" w:color="auto"/>
              <w:right w:val="single" w:sz="2" w:space="0" w:color="auto"/>
            </w:tcBorders>
          </w:tcPr>
          <w:p w:rsidR="00881AC7" w:rsidRPr="00881AC7" w:rsidRDefault="00881AC7" w:rsidP="00757CA2">
            <w:pPr>
              <w:rPr>
                <w:rFonts w:ascii="Times New Roman" w:hAnsi="Times New Roman" w:cs="Times New Roman"/>
                <w:sz w:val="24"/>
                <w:szCs w:val="24"/>
              </w:rPr>
            </w:pPr>
            <w:r w:rsidRPr="00881AC7">
              <w:rPr>
                <w:rFonts w:ascii="Times New Roman" w:hAnsi="Times New Roman" w:cs="Times New Roman"/>
                <w:sz w:val="24"/>
                <w:szCs w:val="24"/>
              </w:rPr>
              <w:t>Granites alcalins</w:t>
            </w:r>
          </w:p>
          <w:p w:rsidR="00881AC7" w:rsidRPr="00881AC7" w:rsidRDefault="00881AC7" w:rsidP="00757CA2">
            <w:pPr>
              <w:rPr>
                <w:rFonts w:ascii="Times New Roman" w:hAnsi="Times New Roman" w:cs="Times New Roman"/>
                <w:sz w:val="24"/>
                <w:szCs w:val="24"/>
              </w:rPr>
            </w:pPr>
            <w:r w:rsidRPr="00881AC7">
              <w:rPr>
                <w:rFonts w:ascii="Times New Roman" w:hAnsi="Times New Roman" w:cs="Times New Roman"/>
                <w:sz w:val="24"/>
                <w:szCs w:val="24"/>
              </w:rPr>
              <w:t>riches en potassium</w:t>
            </w:r>
          </w:p>
        </w:tc>
        <w:tc>
          <w:tcPr>
            <w:tcW w:w="1952" w:type="dxa"/>
            <w:tcBorders>
              <w:top w:val="single" w:sz="2" w:space="0" w:color="auto"/>
              <w:left w:val="single" w:sz="2" w:space="0" w:color="auto"/>
              <w:bottom w:val="single" w:sz="2" w:space="0" w:color="auto"/>
              <w:right w:val="single" w:sz="2" w:space="0" w:color="auto"/>
            </w:tcBorders>
          </w:tcPr>
          <w:p w:rsidR="00881AC7" w:rsidRPr="00881AC7" w:rsidRDefault="00881AC7" w:rsidP="00757CA2">
            <w:pPr>
              <w:spacing w:after="252"/>
              <w:rPr>
                <w:rFonts w:ascii="Times New Roman" w:hAnsi="Times New Roman" w:cs="Times New Roman"/>
                <w:sz w:val="24"/>
                <w:szCs w:val="24"/>
              </w:rPr>
            </w:pPr>
            <w:r w:rsidRPr="00881AC7">
              <w:rPr>
                <w:rFonts w:ascii="Times New Roman" w:hAnsi="Times New Roman" w:cs="Times New Roman"/>
                <w:sz w:val="24"/>
                <w:szCs w:val="24"/>
              </w:rPr>
              <w:t>11- 13 Ma</w:t>
            </w:r>
          </w:p>
        </w:tc>
      </w:tr>
      <w:tr w:rsidR="00757CA2" w:rsidRPr="00881AC7" w:rsidTr="00757CA2">
        <w:trPr>
          <w:trHeight w:hRule="exact" w:val="1269"/>
          <w:jc w:val="center"/>
        </w:trPr>
        <w:tc>
          <w:tcPr>
            <w:tcW w:w="2206" w:type="dxa"/>
            <w:tcBorders>
              <w:top w:val="single" w:sz="2" w:space="0" w:color="auto"/>
              <w:left w:val="single" w:sz="2" w:space="0" w:color="auto"/>
              <w:bottom w:val="single" w:sz="2" w:space="0" w:color="auto"/>
              <w:right w:val="single" w:sz="2" w:space="0" w:color="auto"/>
            </w:tcBorders>
          </w:tcPr>
          <w:p w:rsidR="00881AC7" w:rsidRPr="00881AC7" w:rsidRDefault="00881AC7" w:rsidP="00757CA2">
            <w:pPr>
              <w:spacing w:after="1656"/>
              <w:rPr>
                <w:rFonts w:ascii="Times New Roman" w:hAnsi="Times New Roman" w:cs="Times New Roman"/>
                <w:sz w:val="24"/>
                <w:szCs w:val="24"/>
              </w:rPr>
            </w:pPr>
            <w:r w:rsidRPr="00881AC7">
              <w:rPr>
                <w:rFonts w:ascii="Times New Roman" w:hAnsi="Times New Roman" w:cs="Times New Roman"/>
                <w:sz w:val="24"/>
                <w:szCs w:val="24"/>
              </w:rPr>
              <w:t>Oranie</w:t>
            </w:r>
          </w:p>
        </w:tc>
        <w:tc>
          <w:tcPr>
            <w:tcW w:w="4715" w:type="dxa"/>
            <w:tcBorders>
              <w:top w:val="single" w:sz="2" w:space="0" w:color="auto"/>
              <w:left w:val="single" w:sz="2" w:space="0" w:color="auto"/>
              <w:bottom w:val="single" w:sz="2" w:space="0" w:color="auto"/>
              <w:right w:val="single" w:sz="2" w:space="0" w:color="auto"/>
            </w:tcBorders>
          </w:tcPr>
          <w:p w:rsidR="00881AC7" w:rsidRPr="00881AC7" w:rsidRDefault="00881AC7" w:rsidP="00757CA2">
            <w:pPr>
              <w:spacing w:after="120"/>
              <w:rPr>
                <w:rFonts w:ascii="Times New Roman" w:hAnsi="Times New Roman" w:cs="Times New Roman"/>
                <w:sz w:val="24"/>
                <w:szCs w:val="24"/>
              </w:rPr>
            </w:pPr>
            <w:r w:rsidRPr="00881AC7">
              <w:rPr>
                <w:rFonts w:ascii="Times New Roman" w:hAnsi="Times New Roman" w:cs="Times New Roman"/>
                <w:sz w:val="24"/>
                <w:szCs w:val="24"/>
              </w:rPr>
              <w:t>Andésitespotassiques</w:t>
            </w:r>
          </w:p>
          <w:p w:rsidR="00881AC7" w:rsidRPr="00881AC7" w:rsidRDefault="00881AC7" w:rsidP="00757CA2">
            <w:pPr>
              <w:spacing w:after="120"/>
              <w:rPr>
                <w:rFonts w:ascii="Times New Roman" w:hAnsi="Times New Roman" w:cs="Times New Roman"/>
                <w:sz w:val="24"/>
                <w:szCs w:val="24"/>
              </w:rPr>
            </w:pPr>
            <w:r w:rsidRPr="00881AC7">
              <w:rPr>
                <w:rFonts w:ascii="Times New Roman" w:hAnsi="Times New Roman" w:cs="Times New Roman"/>
                <w:sz w:val="24"/>
                <w:szCs w:val="24"/>
              </w:rPr>
              <w:t>Basaltes alcalins</w:t>
            </w:r>
            <w:r w:rsidRPr="00881AC7">
              <w:rPr>
                <w:rFonts w:ascii="Times New Roman" w:hAnsi="Times New Roman" w:cs="Times New Roman"/>
                <w:sz w:val="24"/>
                <w:szCs w:val="24"/>
              </w:rPr>
              <w:noBreakHyphen/>
              <w:t>transitionnels</w:t>
            </w:r>
          </w:p>
          <w:p w:rsidR="00881AC7" w:rsidRPr="00881AC7" w:rsidRDefault="00881AC7" w:rsidP="00757CA2">
            <w:pPr>
              <w:spacing w:after="120"/>
              <w:rPr>
                <w:rFonts w:ascii="Times New Roman" w:hAnsi="Times New Roman" w:cs="Times New Roman"/>
                <w:sz w:val="24"/>
                <w:szCs w:val="24"/>
              </w:rPr>
            </w:pPr>
            <w:r w:rsidRPr="00881AC7">
              <w:rPr>
                <w:rFonts w:ascii="Times New Roman" w:hAnsi="Times New Roman" w:cs="Times New Roman"/>
                <w:sz w:val="24"/>
                <w:szCs w:val="24"/>
              </w:rPr>
              <w:t>Basaltes alcalins</w:t>
            </w:r>
          </w:p>
        </w:tc>
        <w:tc>
          <w:tcPr>
            <w:tcW w:w="1952" w:type="dxa"/>
            <w:tcBorders>
              <w:top w:val="single" w:sz="2" w:space="0" w:color="auto"/>
              <w:left w:val="single" w:sz="2" w:space="0" w:color="auto"/>
              <w:bottom w:val="single" w:sz="2" w:space="0" w:color="auto"/>
              <w:right w:val="single" w:sz="2" w:space="0" w:color="auto"/>
            </w:tcBorders>
          </w:tcPr>
          <w:p w:rsidR="00881AC7" w:rsidRPr="00881AC7" w:rsidRDefault="00881AC7" w:rsidP="00757CA2">
            <w:pPr>
              <w:spacing w:after="120"/>
              <w:rPr>
                <w:rFonts w:ascii="Times New Roman" w:hAnsi="Times New Roman" w:cs="Times New Roman"/>
                <w:sz w:val="24"/>
                <w:szCs w:val="24"/>
              </w:rPr>
            </w:pPr>
            <w:r w:rsidRPr="00881AC7">
              <w:rPr>
                <w:rFonts w:ascii="Times New Roman" w:hAnsi="Times New Roman" w:cs="Times New Roman"/>
                <w:sz w:val="24"/>
                <w:szCs w:val="24"/>
              </w:rPr>
              <w:t>7,5 – 11,7 Ma</w:t>
            </w:r>
          </w:p>
          <w:p w:rsidR="00757CA2" w:rsidRDefault="00881AC7" w:rsidP="00757CA2">
            <w:pPr>
              <w:spacing w:after="120"/>
              <w:rPr>
                <w:rFonts w:ascii="Times New Roman" w:hAnsi="Times New Roman" w:cs="Times New Roman"/>
                <w:sz w:val="24"/>
                <w:szCs w:val="24"/>
              </w:rPr>
            </w:pPr>
            <w:r w:rsidRPr="00881AC7">
              <w:rPr>
                <w:rFonts w:ascii="Times New Roman" w:hAnsi="Times New Roman" w:cs="Times New Roman"/>
                <w:sz w:val="24"/>
                <w:szCs w:val="24"/>
              </w:rPr>
              <w:t>7,2 – 10 Ma</w:t>
            </w:r>
          </w:p>
          <w:p w:rsidR="00881AC7" w:rsidRPr="00881AC7" w:rsidRDefault="00881AC7" w:rsidP="00757CA2">
            <w:pPr>
              <w:spacing w:after="120"/>
              <w:rPr>
                <w:rFonts w:ascii="Times New Roman" w:hAnsi="Times New Roman" w:cs="Times New Roman"/>
                <w:sz w:val="24"/>
                <w:szCs w:val="24"/>
              </w:rPr>
            </w:pPr>
            <w:r w:rsidRPr="00881AC7">
              <w:rPr>
                <w:rFonts w:ascii="Times New Roman" w:hAnsi="Times New Roman" w:cs="Times New Roman"/>
                <w:sz w:val="24"/>
                <w:szCs w:val="24"/>
              </w:rPr>
              <w:t>0,8 – 3,2 Ma</w:t>
            </w:r>
          </w:p>
        </w:tc>
      </w:tr>
    </w:tbl>
    <w:p w:rsidR="00A14202" w:rsidRDefault="00A14202" w:rsidP="007D34B7">
      <w:pP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anchor distT="0" distB="0" distL="114300" distR="114300" simplePos="0" relativeHeight="251700224" behindDoc="0" locked="0" layoutInCell="1" allowOverlap="1">
            <wp:simplePos x="0" y="0"/>
            <wp:positionH relativeFrom="column">
              <wp:posOffset>-196215</wp:posOffset>
            </wp:positionH>
            <wp:positionV relativeFrom="paragraph">
              <wp:posOffset>-205740</wp:posOffset>
            </wp:positionV>
            <wp:extent cx="6336000" cy="5471695"/>
            <wp:effectExtent l="0" t="0" r="0" b="0"/>
            <wp:wrapSquare wrapText="bothSides"/>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6000" cy="5471695"/>
                    </a:xfrm>
                    <a:prstGeom prst="rect">
                      <a:avLst/>
                    </a:prstGeom>
                    <a:noFill/>
                    <a:ln w="9525">
                      <a:noFill/>
                      <a:miter lim="800000"/>
                      <a:headEnd/>
                      <a:tailEnd/>
                    </a:ln>
                  </pic:spPr>
                </pic:pic>
              </a:graphicData>
            </a:graphic>
          </wp:anchor>
        </w:drawing>
      </w:r>
    </w:p>
    <w:p w:rsidR="00A14202" w:rsidRPr="00A14202" w:rsidRDefault="00A14202" w:rsidP="00A14202">
      <w:pPr>
        <w:rPr>
          <w:rFonts w:ascii="Times New Roman" w:hAnsi="Times New Roman" w:cs="Times New Roman"/>
          <w:sz w:val="24"/>
          <w:szCs w:val="24"/>
        </w:rPr>
      </w:pPr>
    </w:p>
    <w:p w:rsidR="00A14202" w:rsidRDefault="00A14202" w:rsidP="00A14202">
      <w:pPr>
        <w:rPr>
          <w:rFonts w:ascii="Times New Roman" w:hAnsi="Times New Roman" w:cs="Times New Roman"/>
          <w:sz w:val="24"/>
          <w:szCs w:val="24"/>
        </w:rPr>
      </w:pPr>
    </w:p>
    <w:p w:rsidR="00881AC7" w:rsidRPr="00A14202" w:rsidRDefault="00A14202" w:rsidP="00A14202">
      <w:pP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686252" cy="2648197"/>
            <wp:effectExtent l="1905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5"/>
                    <a:srcRect/>
                    <a:stretch>
                      <a:fillRect/>
                    </a:stretch>
                  </pic:blipFill>
                  <pic:spPr bwMode="auto">
                    <a:xfrm>
                      <a:off x="0" y="0"/>
                      <a:ext cx="5686252" cy="2648197"/>
                    </a:xfrm>
                    <a:prstGeom prst="rect">
                      <a:avLst/>
                    </a:prstGeom>
                    <a:noFill/>
                    <a:ln w="9525">
                      <a:noFill/>
                      <a:miter lim="800000"/>
                      <a:headEnd/>
                      <a:tailEnd/>
                    </a:ln>
                  </pic:spPr>
                </pic:pic>
              </a:graphicData>
            </a:graphic>
          </wp:inline>
        </w:drawing>
      </w:r>
    </w:p>
    <w:sectPr w:rsidR="00881AC7" w:rsidRPr="00A14202" w:rsidSect="00A41AF0">
      <w:pgSz w:w="11906" w:h="16838"/>
      <w:pgMar w:top="1134" w:right="851" w:bottom="1134" w:left="1134"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5500" w:rsidRDefault="00105500" w:rsidP="00664923">
      <w:pPr>
        <w:spacing w:after="0" w:line="240" w:lineRule="auto"/>
      </w:pPr>
      <w:r>
        <w:separator/>
      </w:r>
    </w:p>
  </w:endnote>
  <w:endnote w:type="continuationSeparator" w:id="1">
    <w:p w:rsidR="00105500" w:rsidRDefault="00105500" w:rsidP="006649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5500" w:rsidRDefault="00105500" w:rsidP="00664923">
      <w:pPr>
        <w:spacing w:after="0" w:line="240" w:lineRule="auto"/>
      </w:pPr>
      <w:r>
        <w:separator/>
      </w:r>
    </w:p>
  </w:footnote>
  <w:footnote w:type="continuationSeparator" w:id="1">
    <w:p w:rsidR="00105500" w:rsidRDefault="00105500" w:rsidP="006649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A51CBB"/>
    <w:multiLevelType w:val="singleLevel"/>
    <w:tmpl w:val="749CE906"/>
    <w:lvl w:ilvl="0">
      <w:start w:val="2"/>
      <w:numFmt w:val="decimal"/>
      <w:lvlText w:val="%1."/>
      <w:lvlJc w:val="left"/>
      <w:pPr>
        <w:tabs>
          <w:tab w:val="num" w:pos="1008"/>
        </w:tabs>
        <w:ind w:firstLine="720"/>
      </w:pPr>
      <w:rPr>
        <w:b/>
        <w:color w:val="00000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034439"/>
    <w:rsid w:val="000151F3"/>
    <w:rsid w:val="00025949"/>
    <w:rsid w:val="00034439"/>
    <w:rsid w:val="00040D62"/>
    <w:rsid w:val="00042D44"/>
    <w:rsid w:val="00045989"/>
    <w:rsid w:val="00052EAF"/>
    <w:rsid w:val="00074BEF"/>
    <w:rsid w:val="000A5E1A"/>
    <w:rsid w:val="000B7876"/>
    <w:rsid w:val="000C2DCE"/>
    <w:rsid w:val="000F3165"/>
    <w:rsid w:val="00100E8A"/>
    <w:rsid w:val="00105500"/>
    <w:rsid w:val="00107DE2"/>
    <w:rsid w:val="00115E28"/>
    <w:rsid w:val="00134B11"/>
    <w:rsid w:val="00155D6E"/>
    <w:rsid w:val="00165FA0"/>
    <w:rsid w:val="0016710F"/>
    <w:rsid w:val="001819FA"/>
    <w:rsid w:val="00186677"/>
    <w:rsid w:val="001A7943"/>
    <w:rsid w:val="001B693A"/>
    <w:rsid w:val="001C6F6C"/>
    <w:rsid w:val="001C7004"/>
    <w:rsid w:val="001E78D4"/>
    <w:rsid w:val="0022213E"/>
    <w:rsid w:val="00233169"/>
    <w:rsid w:val="00233FEB"/>
    <w:rsid w:val="0023493E"/>
    <w:rsid w:val="0025546C"/>
    <w:rsid w:val="00256C63"/>
    <w:rsid w:val="002D5167"/>
    <w:rsid w:val="002E4432"/>
    <w:rsid w:val="00300111"/>
    <w:rsid w:val="003243AA"/>
    <w:rsid w:val="00325D1B"/>
    <w:rsid w:val="003C45D6"/>
    <w:rsid w:val="003E06C2"/>
    <w:rsid w:val="0041523F"/>
    <w:rsid w:val="00433017"/>
    <w:rsid w:val="00437EA1"/>
    <w:rsid w:val="00487511"/>
    <w:rsid w:val="00490EC2"/>
    <w:rsid w:val="004F59A9"/>
    <w:rsid w:val="0050349B"/>
    <w:rsid w:val="00551AC8"/>
    <w:rsid w:val="00556545"/>
    <w:rsid w:val="00591AE9"/>
    <w:rsid w:val="005C7393"/>
    <w:rsid w:val="005D3D47"/>
    <w:rsid w:val="005F07BC"/>
    <w:rsid w:val="005F772E"/>
    <w:rsid w:val="0060026A"/>
    <w:rsid w:val="0065111D"/>
    <w:rsid w:val="006536BE"/>
    <w:rsid w:val="00664923"/>
    <w:rsid w:val="0068209C"/>
    <w:rsid w:val="00691FD9"/>
    <w:rsid w:val="006A333B"/>
    <w:rsid w:val="006B589E"/>
    <w:rsid w:val="006C5E0A"/>
    <w:rsid w:val="006C6A37"/>
    <w:rsid w:val="00700036"/>
    <w:rsid w:val="00702DF1"/>
    <w:rsid w:val="00720913"/>
    <w:rsid w:val="007372BB"/>
    <w:rsid w:val="00757CA2"/>
    <w:rsid w:val="007744BA"/>
    <w:rsid w:val="007806C7"/>
    <w:rsid w:val="007A74C9"/>
    <w:rsid w:val="007D34B7"/>
    <w:rsid w:val="007D635D"/>
    <w:rsid w:val="0080042E"/>
    <w:rsid w:val="00801DD3"/>
    <w:rsid w:val="00850FE6"/>
    <w:rsid w:val="00881AC7"/>
    <w:rsid w:val="008A6267"/>
    <w:rsid w:val="009311B9"/>
    <w:rsid w:val="0093199B"/>
    <w:rsid w:val="009826A1"/>
    <w:rsid w:val="00992EEA"/>
    <w:rsid w:val="009D2C4A"/>
    <w:rsid w:val="009E09F0"/>
    <w:rsid w:val="00A14202"/>
    <w:rsid w:val="00A32711"/>
    <w:rsid w:val="00A41AF0"/>
    <w:rsid w:val="00A67A9F"/>
    <w:rsid w:val="00A774F8"/>
    <w:rsid w:val="00A80B9F"/>
    <w:rsid w:val="00B00F29"/>
    <w:rsid w:val="00B0416D"/>
    <w:rsid w:val="00B05969"/>
    <w:rsid w:val="00B059AF"/>
    <w:rsid w:val="00B10612"/>
    <w:rsid w:val="00B25569"/>
    <w:rsid w:val="00B308CC"/>
    <w:rsid w:val="00B328D1"/>
    <w:rsid w:val="00B4576B"/>
    <w:rsid w:val="00B9139F"/>
    <w:rsid w:val="00BA2D6B"/>
    <w:rsid w:val="00BD160E"/>
    <w:rsid w:val="00BD4804"/>
    <w:rsid w:val="00C75518"/>
    <w:rsid w:val="00C77BDB"/>
    <w:rsid w:val="00CF3028"/>
    <w:rsid w:val="00D3177B"/>
    <w:rsid w:val="00D661E9"/>
    <w:rsid w:val="00D67DF9"/>
    <w:rsid w:val="00DD2255"/>
    <w:rsid w:val="00DD506B"/>
    <w:rsid w:val="00E1548F"/>
    <w:rsid w:val="00E20938"/>
    <w:rsid w:val="00E214DC"/>
    <w:rsid w:val="00E24348"/>
    <w:rsid w:val="00E260FF"/>
    <w:rsid w:val="00E40CE7"/>
    <w:rsid w:val="00E62C5D"/>
    <w:rsid w:val="00E764B7"/>
    <w:rsid w:val="00EA581D"/>
    <w:rsid w:val="00EB19F0"/>
    <w:rsid w:val="00EC2E43"/>
    <w:rsid w:val="00EE6C36"/>
    <w:rsid w:val="00F15AC7"/>
    <w:rsid w:val="00F17909"/>
    <w:rsid w:val="00F17C12"/>
    <w:rsid w:val="00F63582"/>
    <w:rsid w:val="00F95C6E"/>
    <w:rsid w:val="00FA2084"/>
    <w:rsid w:val="00FB4899"/>
    <w:rsid w:val="00FC4D84"/>
    <w:rsid w:val="00FD57C0"/>
    <w:rsid w:val="00FE05AF"/>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6C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661E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61E9"/>
    <w:rPr>
      <w:rFonts w:ascii="Tahoma" w:hAnsi="Tahoma" w:cs="Tahoma"/>
      <w:sz w:val="16"/>
      <w:szCs w:val="16"/>
    </w:rPr>
  </w:style>
  <w:style w:type="paragraph" w:styleId="En-tte">
    <w:name w:val="header"/>
    <w:basedOn w:val="Normal"/>
    <w:link w:val="En-tteCar"/>
    <w:uiPriority w:val="99"/>
    <w:unhideWhenUsed/>
    <w:rsid w:val="00664923"/>
    <w:pPr>
      <w:tabs>
        <w:tab w:val="center" w:pos="4536"/>
        <w:tab w:val="right" w:pos="9072"/>
      </w:tabs>
      <w:spacing w:after="0" w:line="240" w:lineRule="auto"/>
    </w:pPr>
  </w:style>
  <w:style w:type="character" w:customStyle="1" w:styleId="En-tteCar">
    <w:name w:val="En-tête Car"/>
    <w:basedOn w:val="Policepardfaut"/>
    <w:link w:val="En-tte"/>
    <w:uiPriority w:val="99"/>
    <w:rsid w:val="00664923"/>
  </w:style>
  <w:style w:type="paragraph" w:styleId="Pieddepage">
    <w:name w:val="footer"/>
    <w:basedOn w:val="Normal"/>
    <w:link w:val="PieddepageCar"/>
    <w:uiPriority w:val="99"/>
    <w:unhideWhenUsed/>
    <w:rsid w:val="0066492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492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9ED95-B2D5-4EE0-8491-4BA228745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13248</TotalTime>
  <Pages>18</Pages>
  <Words>3055</Words>
  <Characters>16806</Characters>
  <Application>Microsoft Office Word</Application>
  <DocSecurity>0</DocSecurity>
  <Lines>140</Lines>
  <Paragraphs>39</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19822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2014</dc:creator>
  <cp:lastModifiedBy>Utilisateur Windows</cp:lastModifiedBy>
  <cp:revision>43</cp:revision>
  <dcterms:created xsi:type="dcterms:W3CDTF">2015-03-24T09:03:00Z</dcterms:created>
  <dcterms:modified xsi:type="dcterms:W3CDTF">2020-12-27T11:02:00Z</dcterms:modified>
</cp:coreProperties>
</file>