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D9" w:rsidRDefault="00863C14" w:rsidP="004B4D54">
      <w:pPr>
        <w:jc w:val="center"/>
        <w:rPr>
          <w:b/>
          <w:bCs/>
          <w:sz w:val="28"/>
          <w:szCs w:val="28"/>
          <w:lang w:val="fr-FR"/>
        </w:rPr>
      </w:pPr>
      <w:r>
        <w:rPr>
          <w:b/>
          <w:bCs/>
          <w:sz w:val="28"/>
          <w:szCs w:val="28"/>
          <w:lang w:val="fr-FR"/>
        </w:rPr>
        <w:t>CORRIGE TYPE DE L’</w:t>
      </w:r>
      <w:r w:rsidR="004B4D54" w:rsidRPr="004B4D54">
        <w:rPr>
          <w:b/>
          <w:bCs/>
          <w:sz w:val="28"/>
          <w:szCs w:val="28"/>
          <w:lang w:val="fr-FR"/>
        </w:rPr>
        <w:t>EXAMEN DU SEMESTRE I</w:t>
      </w:r>
    </w:p>
    <w:p w:rsidR="00AD79C1" w:rsidRPr="00AD79C1" w:rsidRDefault="00AD79C1" w:rsidP="00FC3088">
      <w:pPr>
        <w:spacing w:after="120" w:line="240" w:lineRule="auto"/>
        <w:rPr>
          <w:rFonts w:cstheme="minorHAnsi"/>
          <w:b/>
          <w:bCs/>
          <w:sz w:val="24"/>
          <w:szCs w:val="24"/>
          <w:lang w:val="fr-FR"/>
        </w:rPr>
      </w:pPr>
      <w:r w:rsidRPr="00AD79C1">
        <w:rPr>
          <w:rFonts w:cstheme="minorHAnsi"/>
          <w:b/>
          <w:bCs/>
          <w:sz w:val="24"/>
          <w:szCs w:val="24"/>
          <w:lang w:val="fr-FR"/>
        </w:rPr>
        <w:t>Question 1</w:t>
      </w:r>
      <w:r w:rsidR="009461A9">
        <w:rPr>
          <w:rFonts w:cstheme="minorHAnsi"/>
          <w:b/>
          <w:bCs/>
          <w:sz w:val="24"/>
          <w:szCs w:val="24"/>
          <w:lang w:val="fr-FR"/>
        </w:rPr>
        <w:t xml:space="preserve"> </w:t>
      </w:r>
      <w:r w:rsidR="00D6100C">
        <w:rPr>
          <w:rFonts w:cstheme="minorHAnsi"/>
          <w:b/>
          <w:bCs/>
          <w:sz w:val="24"/>
          <w:szCs w:val="24"/>
          <w:lang w:val="fr-FR"/>
        </w:rPr>
        <w:t>(16pts)</w:t>
      </w:r>
    </w:p>
    <w:p w:rsidR="004A7853" w:rsidRPr="00AE097F" w:rsidRDefault="00205F66" w:rsidP="00FC3088">
      <w:pPr>
        <w:spacing w:after="0" w:line="240" w:lineRule="auto"/>
        <w:jc w:val="both"/>
        <w:rPr>
          <w:rFonts w:eastAsia="FreeSerif" w:cstheme="minorHAnsi"/>
          <w:lang w:val="fr-FR"/>
        </w:rPr>
      </w:pPr>
      <w:r w:rsidRPr="00AE097F">
        <w:rPr>
          <w:rFonts w:cstheme="minorHAnsi"/>
          <w:lang w:val="fr-FR"/>
        </w:rPr>
        <w:t xml:space="preserve">« (…) le rôle spécifique et irremplaçable que la littérature peut jouer </w:t>
      </w:r>
      <w:r w:rsidR="004A7853" w:rsidRPr="00AE097F">
        <w:rPr>
          <w:rFonts w:eastAsia="FreeSerif" w:cstheme="minorHAnsi"/>
          <w:lang w:val="fr-FR"/>
        </w:rPr>
        <w:t xml:space="preserve">dans l’enseignement du français langue étrangère, [relève du fait qu’elle peut être utilisée] pour « autre chose » qu’elle : à travers elle, en effet, la matière de la </w:t>
      </w:r>
      <w:r w:rsidR="004A7853" w:rsidRPr="00243014">
        <w:rPr>
          <w:rFonts w:eastAsia="FreeSerif" w:cstheme="minorHAnsi"/>
          <w:b/>
          <w:bCs/>
          <w:lang w:val="fr-FR"/>
        </w:rPr>
        <w:t>langue</w:t>
      </w:r>
      <w:r w:rsidR="004A7853" w:rsidRPr="00AE097F">
        <w:rPr>
          <w:rFonts w:eastAsia="FreeSerif" w:cstheme="minorHAnsi"/>
          <w:lang w:val="fr-FR"/>
        </w:rPr>
        <w:t xml:space="preserve"> autant que des formes de la </w:t>
      </w:r>
      <w:r w:rsidR="004A7853" w:rsidRPr="00243014">
        <w:rPr>
          <w:rFonts w:eastAsia="FreeSerif" w:cstheme="minorHAnsi"/>
          <w:b/>
          <w:bCs/>
          <w:lang w:val="fr-FR"/>
        </w:rPr>
        <w:t>culture</w:t>
      </w:r>
      <w:r w:rsidR="004A7853" w:rsidRPr="00AE097F">
        <w:rPr>
          <w:rFonts w:eastAsia="FreeSerif" w:cstheme="minorHAnsi"/>
          <w:lang w:val="fr-FR"/>
        </w:rPr>
        <w:t xml:space="preserve"> sont données à sentir, à goûter et à comprendre, ce qui est, dès les premiers niveaux, non seulement motivant, mais </w:t>
      </w:r>
      <w:r w:rsidR="004A7853" w:rsidRPr="00243014">
        <w:rPr>
          <w:rFonts w:eastAsia="FreeSerif" w:cstheme="minorHAnsi"/>
          <w:b/>
          <w:bCs/>
          <w:lang w:val="fr-FR"/>
        </w:rPr>
        <w:t>formateur</w:t>
      </w:r>
      <w:r w:rsidR="004A7853" w:rsidRPr="00AE097F">
        <w:rPr>
          <w:rFonts w:eastAsia="FreeSerif" w:cstheme="minorHAnsi"/>
          <w:lang w:val="fr-FR"/>
        </w:rPr>
        <w:t xml:space="preserve">. Qu’elle soit « </w:t>
      </w:r>
      <w:r w:rsidR="004A7853" w:rsidRPr="00243014">
        <w:rPr>
          <w:rFonts w:eastAsia="FreeSerif" w:cstheme="minorHAnsi"/>
          <w:b/>
          <w:bCs/>
          <w:lang w:val="fr-FR"/>
        </w:rPr>
        <w:t>prétexte</w:t>
      </w:r>
      <w:r w:rsidR="004A7853" w:rsidRPr="00AE097F">
        <w:rPr>
          <w:rFonts w:eastAsia="FreeSerif" w:cstheme="minorHAnsi"/>
          <w:lang w:val="fr-FR"/>
        </w:rPr>
        <w:t xml:space="preserve"> » à parler et à écrire n’est pas contraire au rôle qu’elle joue dans les </w:t>
      </w:r>
      <w:r w:rsidR="004A7853" w:rsidRPr="00243014">
        <w:rPr>
          <w:rFonts w:eastAsia="FreeSerif" w:cstheme="minorHAnsi"/>
          <w:b/>
          <w:bCs/>
          <w:lang w:val="fr-FR"/>
        </w:rPr>
        <w:t>pratiques authentiques</w:t>
      </w:r>
      <w:r w:rsidR="004A7853" w:rsidRPr="00AE097F">
        <w:rPr>
          <w:rFonts w:eastAsia="FreeSerif" w:cstheme="minorHAnsi"/>
          <w:lang w:val="fr-FR"/>
        </w:rPr>
        <w:t xml:space="preserve">, et qu’elle permette ainsi de progresser à la fois dans la </w:t>
      </w:r>
      <w:r w:rsidR="004A7853" w:rsidRPr="00243014">
        <w:rPr>
          <w:rFonts w:eastAsia="FreeSerif" w:cstheme="minorHAnsi"/>
          <w:b/>
          <w:bCs/>
          <w:lang w:val="fr-FR"/>
        </w:rPr>
        <w:t xml:space="preserve">maîtrise de la langue </w:t>
      </w:r>
      <w:r w:rsidR="004A7853" w:rsidRPr="00AE097F">
        <w:rPr>
          <w:rFonts w:eastAsia="FreeSerif" w:cstheme="minorHAnsi"/>
          <w:lang w:val="fr-FR"/>
        </w:rPr>
        <w:t xml:space="preserve">et dans la </w:t>
      </w:r>
      <w:r w:rsidR="004A7853" w:rsidRPr="00243014">
        <w:rPr>
          <w:rFonts w:eastAsia="FreeSerif" w:cstheme="minorHAnsi"/>
          <w:b/>
          <w:bCs/>
          <w:lang w:val="fr-FR"/>
        </w:rPr>
        <w:t>connaissance de la culture</w:t>
      </w:r>
      <w:r w:rsidR="004A7853" w:rsidRPr="00AE097F">
        <w:rPr>
          <w:rFonts w:eastAsia="FreeSerif" w:cstheme="minorHAnsi"/>
          <w:lang w:val="fr-FR"/>
        </w:rPr>
        <w:t xml:space="preserve">, de </w:t>
      </w:r>
      <w:r w:rsidR="004A7853" w:rsidRPr="00243014">
        <w:rPr>
          <w:rFonts w:eastAsia="FreeSerif" w:cstheme="minorHAnsi"/>
          <w:b/>
          <w:bCs/>
          <w:lang w:val="fr-FR"/>
        </w:rPr>
        <w:t>soi</w:t>
      </w:r>
      <w:r w:rsidR="004A7853" w:rsidRPr="00AE097F">
        <w:rPr>
          <w:rFonts w:eastAsia="FreeSerif" w:cstheme="minorHAnsi"/>
          <w:lang w:val="fr-FR"/>
        </w:rPr>
        <w:t xml:space="preserve"> et d’</w:t>
      </w:r>
      <w:r w:rsidR="004A7853" w:rsidRPr="00243014">
        <w:rPr>
          <w:rFonts w:eastAsia="FreeSerif" w:cstheme="minorHAnsi"/>
          <w:b/>
          <w:bCs/>
          <w:lang w:val="fr-FR"/>
        </w:rPr>
        <w:t>autrui</w:t>
      </w:r>
      <w:r w:rsidR="004A7853" w:rsidRPr="00AE097F">
        <w:rPr>
          <w:rFonts w:eastAsia="FreeSerif" w:cstheme="minorHAnsi"/>
          <w:lang w:val="fr-FR"/>
        </w:rPr>
        <w:t xml:space="preserve"> tient justement au fait qu’elle transmet autre chose qu’elle-même</w:t>
      </w:r>
      <w:r w:rsidR="0004338A" w:rsidRPr="00AE097F">
        <w:rPr>
          <w:rStyle w:val="Appelnotedebasdep"/>
          <w:rFonts w:eastAsia="FreeSerif" w:cstheme="minorHAnsi"/>
          <w:lang w:val="fr-FR"/>
        </w:rPr>
        <w:footnoteReference w:id="1"/>
      </w:r>
      <w:r w:rsidR="004A7853" w:rsidRPr="00AE097F">
        <w:rPr>
          <w:rFonts w:eastAsia="FreeSerif" w:cstheme="minorHAnsi"/>
          <w:lang w:val="fr-FR"/>
        </w:rPr>
        <w:t>. »</w:t>
      </w:r>
    </w:p>
    <w:p w:rsidR="00ED6B19" w:rsidRPr="00FC3088" w:rsidRDefault="00ED6B19" w:rsidP="006A1978">
      <w:pPr>
        <w:spacing w:before="120" w:after="0" w:line="240" w:lineRule="auto"/>
        <w:rPr>
          <w:rFonts w:cstheme="minorHAnsi"/>
          <w:b/>
          <w:bCs/>
          <w:sz w:val="24"/>
          <w:szCs w:val="24"/>
          <w:lang w:val="fr-FR"/>
        </w:rPr>
      </w:pPr>
      <w:r w:rsidRPr="00FC3088">
        <w:rPr>
          <w:rFonts w:eastAsia="FreeSerif" w:cstheme="minorHAnsi"/>
          <w:b/>
          <w:bCs/>
          <w:sz w:val="24"/>
          <w:szCs w:val="24"/>
          <w:lang w:val="fr-FR"/>
        </w:rPr>
        <w:t>À la lumière des propos d’Anne Godard et des spécificités du texte littéraire, déterminez les objectifs qui peuvent être visés à travers l’exploitation du texte littéraire (surtout par rapport à l’enseignement de la lecture compréhension)</w:t>
      </w:r>
    </w:p>
    <w:p w:rsidR="00870DCC" w:rsidRDefault="00870DCC" w:rsidP="00870DCC">
      <w:pPr>
        <w:spacing w:after="120" w:line="240" w:lineRule="auto"/>
        <w:rPr>
          <w:rFonts w:cstheme="minorHAnsi"/>
          <w:b/>
          <w:bCs/>
          <w:sz w:val="24"/>
          <w:szCs w:val="24"/>
          <w:lang w:val="fr-FR"/>
        </w:rPr>
      </w:pPr>
    </w:p>
    <w:p w:rsidR="00870DCC" w:rsidRPr="00AD79C1" w:rsidRDefault="00B46F34" w:rsidP="00870DCC">
      <w:pPr>
        <w:spacing w:after="120" w:line="240" w:lineRule="auto"/>
        <w:rPr>
          <w:rFonts w:cstheme="minorHAnsi"/>
          <w:b/>
          <w:bCs/>
          <w:sz w:val="24"/>
          <w:szCs w:val="24"/>
          <w:lang w:val="fr-FR"/>
        </w:rPr>
      </w:pPr>
      <w:r>
        <w:rPr>
          <w:rFonts w:cstheme="minorHAnsi"/>
          <w:b/>
          <w:bCs/>
          <w:sz w:val="24"/>
          <w:szCs w:val="24"/>
          <w:lang w:val="fr-FR"/>
        </w:rPr>
        <w:t>Réponse</w:t>
      </w:r>
    </w:p>
    <w:p w:rsidR="00870DCC" w:rsidRDefault="00870DCC" w:rsidP="004B0E0A">
      <w:pPr>
        <w:spacing w:after="0" w:line="240" w:lineRule="auto"/>
        <w:jc w:val="center"/>
        <w:rPr>
          <w:b/>
          <w:bCs/>
          <w:lang w:val="fr-FR"/>
        </w:rPr>
      </w:pPr>
    </w:p>
    <w:p w:rsidR="003A74D3" w:rsidRDefault="00F36D67" w:rsidP="00F36D67">
      <w:pPr>
        <w:pStyle w:val="Paragraphedeliste"/>
        <w:numPr>
          <w:ilvl w:val="0"/>
          <w:numId w:val="13"/>
        </w:numPr>
        <w:spacing w:after="0"/>
        <w:jc w:val="both"/>
        <w:rPr>
          <w:b/>
          <w:bCs/>
          <w:lang w:val="fr-FR"/>
        </w:rPr>
      </w:pPr>
      <w:r>
        <w:rPr>
          <w:b/>
          <w:bCs/>
          <w:lang w:val="fr-FR"/>
        </w:rPr>
        <w:t>Critères d’évaluation</w:t>
      </w:r>
    </w:p>
    <w:p w:rsidR="003A74D3" w:rsidRDefault="003A74D3" w:rsidP="00F36D67">
      <w:pPr>
        <w:pStyle w:val="Paragraphedeliste"/>
        <w:numPr>
          <w:ilvl w:val="0"/>
          <w:numId w:val="14"/>
        </w:numPr>
        <w:spacing w:after="0"/>
        <w:jc w:val="both"/>
        <w:rPr>
          <w:b/>
          <w:bCs/>
          <w:lang w:val="fr-FR"/>
        </w:rPr>
      </w:pPr>
      <w:r>
        <w:rPr>
          <w:b/>
          <w:bCs/>
          <w:lang w:val="fr-FR"/>
        </w:rPr>
        <w:t>Les principaux mots-clés à exploiter</w:t>
      </w:r>
      <w:r w:rsidR="0026214C">
        <w:rPr>
          <w:b/>
          <w:bCs/>
          <w:lang w:val="fr-FR"/>
        </w:rPr>
        <w:t xml:space="preserve"> (2 pts)</w:t>
      </w:r>
    </w:p>
    <w:p w:rsidR="00847775" w:rsidRPr="00F36D67" w:rsidRDefault="00C711E7" w:rsidP="00C74100">
      <w:pPr>
        <w:pStyle w:val="Paragraphedeliste"/>
        <w:spacing w:after="0"/>
        <w:ind w:left="567"/>
        <w:jc w:val="both"/>
        <w:rPr>
          <w:lang w:val="fr-FR"/>
        </w:rPr>
      </w:pPr>
      <w:r>
        <w:rPr>
          <w:lang w:val="fr-FR"/>
        </w:rPr>
        <w:t>Langue, culture, formateur, con</w:t>
      </w:r>
      <w:r w:rsidR="00847775" w:rsidRPr="00F36D67">
        <w:rPr>
          <w:lang w:val="fr-FR"/>
        </w:rPr>
        <w:t>tex</w:t>
      </w:r>
      <w:r>
        <w:rPr>
          <w:lang w:val="fr-FR"/>
        </w:rPr>
        <w:t>te, t</w:t>
      </w:r>
      <w:bookmarkStart w:id="0" w:name="_GoBack"/>
      <w:bookmarkEnd w:id="0"/>
      <w:r>
        <w:rPr>
          <w:lang w:val="fr-FR"/>
        </w:rPr>
        <w:t>exte</w:t>
      </w:r>
      <w:r w:rsidR="00847775" w:rsidRPr="00F36D67">
        <w:rPr>
          <w:lang w:val="fr-FR"/>
        </w:rPr>
        <w:t xml:space="preserve"> authentiques, </w:t>
      </w:r>
      <w:r w:rsidR="00F36D67" w:rsidRPr="00F36D67">
        <w:rPr>
          <w:lang w:val="fr-FR"/>
        </w:rPr>
        <w:t>maîtrise de la langue, connaissance de la culture, soi, autrui.</w:t>
      </w:r>
    </w:p>
    <w:p w:rsidR="00C74100" w:rsidRPr="004F4548" w:rsidRDefault="00C74100" w:rsidP="00257710">
      <w:pPr>
        <w:pStyle w:val="Paragraphedeliste"/>
        <w:numPr>
          <w:ilvl w:val="0"/>
          <w:numId w:val="14"/>
        </w:numPr>
        <w:spacing w:after="0"/>
        <w:jc w:val="both"/>
        <w:rPr>
          <w:lang w:val="fr-FR"/>
        </w:rPr>
      </w:pPr>
      <w:r w:rsidRPr="004F4548">
        <w:rPr>
          <w:b/>
          <w:bCs/>
          <w:lang w:val="fr-FR"/>
        </w:rPr>
        <w:t>Les principaux points à aborder</w:t>
      </w:r>
      <w:r w:rsidR="0026214C">
        <w:rPr>
          <w:b/>
          <w:bCs/>
          <w:lang w:val="fr-FR"/>
        </w:rPr>
        <w:t xml:space="preserve"> (10pts)</w:t>
      </w:r>
    </w:p>
    <w:p w:rsidR="00C74100" w:rsidRDefault="00C74100" w:rsidP="004819DC">
      <w:pPr>
        <w:pStyle w:val="Paragraphedeliste"/>
        <w:spacing w:after="0"/>
        <w:ind w:left="567"/>
        <w:jc w:val="both"/>
        <w:rPr>
          <w:rFonts w:eastAsia="FreeSerif" w:cstheme="minorHAnsi"/>
          <w:b/>
          <w:bCs/>
          <w:sz w:val="24"/>
          <w:szCs w:val="24"/>
          <w:lang w:val="fr-FR"/>
        </w:rPr>
      </w:pPr>
    </w:p>
    <w:p w:rsidR="00DD2526" w:rsidRPr="00477683" w:rsidRDefault="001244F3" w:rsidP="0095409B">
      <w:pPr>
        <w:pStyle w:val="Paragraphedeliste"/>
        <w:numPr>
          <w:ilvl w:val="0"/>
          <w:numId w:val="15"/>
        </w:numPr>
        <w:spacing w:after="0"/>
        <w:ind w:left="1276"/>
        <w:jc w:val="both"/>
        <w:rPr>
          <w:lang w:val="fr-FR"/>
        </w:rPr>
      </w:pPr>
      <w:r w:rsidRPr="00477683">
        <w:rPr>
          <w:lang w:val="fr-FR"/>
        </w:rPr>
        <w:t>Evoquer les différentes spécificités du texte littéraire</w:t>
      </w:r>
      <w:r w:rsidR="00E05012" w:rsidRPr="00477683">
        <w:rPr>
          <w:lang w:val="fr-FR"/>
        </w:rPr>
        <w:t xml:space="preserve"> (la langue littéraire, la forme littéraire, la fiction littéraire, la r</w:t>
      </w:r>
      <w:r w:rsidR="0095409B" w:rsidRPr="00477683">
        <w:rPr>
          <w:lang w:val="fr-FR"/>
        </w:rPr>
        <w:t>éc</w:t>
      </w:r>
      <w:r w:rsidR="00E05012" w:rsidRPr="00477683">
        <w:rPr>
          <w:lang w:val="fr-FR"/>
        </w:rPr>
        <w:t>eption)</w:t>
      </w:r>
      <w:r w:rsidR="00C34D3D">
        <w:rPr>
          <w:lang w:val="fr-FR"/>
        </w:rPr>
        <w:t xml:space="preserve"> </w:t>
      </w:r>
      <w:r w:rsidR="00C34D3D" w:rsidRPr="00C34D3D">
        <w:rPr>
          <w:b/>
          <w:bCs/>
          <w:lang w:val="fr-FR"/>
        </w:rPr>
        <w:t>(4 pts)</w:t>
      </w:r>
    </w:p>
    <w:p w:rsidR="004B0E0A" w:rsidRPr="00477683" w:rsidRDefault="004819DC" w:rsidP="00B46F34">
      <w:pPr>
        <w:pStyle w:val="Paragraphedeliste"/>
        <w:numPr>
          <w:ilvl w:val="0"/>
          <w:numId w:val="15"/>
        </w:numPr>
        <w:spacing w:after="0"/>
        <w:ind w:left="1276"/>
        <w:jc w:val="both"/>
        <w:rPr>
          <w:lang w:val="fr-FR"/>
        </w:rPr>
      </w:pPr>
      <w:r w:rsidRPr="00477683">
        <w:rPr>
          <w:rFonts w:eastAsia="FreeSerif" w:cstheme="minorHAnsi"/>
          <w:lang w:val="fr-FR"/>
        </w:rPr>
        <w:t>Déterminer les objectifs qui peuvent être visés à travers l’exploitation du texte littéraire</w:t>
      </w:r>
      <w:r w:rsidR="009F00E7" w:rsidRPr="00477683">
        <w:rPr>
          <w:rFonts w:eastAsia="FreeSerif" w:cstheme="minorHAnsi"/>
          <w:lang w:val="fr-FR"/>
        </w:rPr>
        <w:t> :</w:t>
      </w:r>
      <w:r w:rsidR="00C34D3D">
        <w:rPr>
          <w:rFonts w:eastAsia="FreeSerif" w:cstheme="minorHAnsi"/>
          <w:lang w:val="fr-FR"/>
        </w:rPr>
        <w:t xml:space="preserve"> </w:t>
      </w:r>
      <w:r w:rsidR="00C34D3D" w:rsidRPr="00C34D3D">
        <w:rPr>
          <w:rFonts w:eastAsia="FreeSerif" w:cstheme="minorHAnsi"/>
          <w:b/>
          <w:bCs/>
          <w:lang w:val="fr-FR"/>
        </w:rPr>
        <w:t>(6 pts)</w:t>
      </w:r>
    </w:p>
    <w:p w:rsidR="009F00E7" w:rsidRPr="00477683" w:rsidRDefault="009F00E7" w:rsidP="00257710">
      <w:pPr>
        <w:pStyle w:val="Paragraphedeliste"/>
        <w:numPr>
          <w:ilvl w:val="0"/>
          <w:numId w:val="16"/>
        </w:numPr>
        <w:spacing w:after="240" w:line="240" w:lineRule="auto"/>
        <w:jc w:val="both"/>
        <w:rPr>
          <w:rFonts w:eastAsia="FreeSerif" w:cstheme="minorHAnsi"/>
          <w:lang w:val="fr-FR"/>
        </w:rPr>
      </w:pPr>
      <w:r w:rsidRPr="00477683">
        <w:rPr>
          <w:rFonts w:eastAsia="FreeSerif" w:cstheme="minorHAnsi"/>
          <w:lang w:val="fr-FR"/>
        </w:rPr>
        <w:t xml:space="preserve">Les objectifs linguistiques (travailler </w:t>
      </w:r>
      <w:r w:rsidR="00EA1DFC" w:rsidRPr="00477683">
        <w:rPr>
          <w:rFonts w:eastAsia="FreeSerif" w:cstheme="minorHAnsi"/>
          <w:lang w:val="fr-FR"/>
        </w:rPr>
        <w:t xml:space="preserve">la langue à différents niveaux : </w:t>
      </w:r>
      <w:r w:rsidR="00241DB8" w:rsidRPr="00477683">
        <w:rPr>
          <w:rFonts w:eastAsia="FreeSerif" w:cstheme="minorHAnsi"/>
          <w:lang w:val="fr-FR"/>
        </w:rPr>
        <w:t xml:space="preserve">lexical, </w:t>
      </w:r>
      <w:proofErr w:type="gramStart"/>
      <w:r w:rsidR="00E243D2" w:rsidRPr="00477683">
        <w:rPr>
          <w:rFonts w:eastAsia="FreeSerif" w:cstheme="minorHAnsi"/>
          <w:lang w:val="fr-FR"/>
        </w:rPr>
        <w:t>syntaxique, ….</w:t>
      </w:r>
      <w:proofErr w:type="gramEnd"/>
      <w:r w:rsidR="00E243D2" w:rsidRPr="00477683">
        <w:rPr>
          <w:rFonts w:eastAsia="FreeSerif" w:cstheme="minorHAnsi"/>
          <w:lang w:val="fr-FR"/>
        </w:rPr>
        <w:t>)</w:t>
      </w:r>
    </w:p>
    <w:p w:rsidR="00E243D2" w:rsidRPr="00477683" w:rsidRDefault="00E243D2" w:rsidP="00257710">
      <w:pPr>
        <w:pStyle w:val="Paragraphedeliste"/>
        <w:numPr>
          <w:ilvl w:val="0"/>
          <w:numId w:val="16"/>
        </w:numPr>
        <w:spacing w:after="240" w:line="240" w:lineRule="auto"/>
        <w:jc w:val="both"/>
        <w:rPr>
          <w:rFonts w:eastAsia="FreeSerif" w:cstheme="minorHAnsi"/>
          <w:lang w:val="fr-FR"/>
        </w:rPr>
      </w:pPr>
      <w:r w:rsidRPr="00477683">
        <w:rPr>
          <w:rFonts w:eastAsia="FreeSerif" w:cstheme="minorHAnsi"/>
          <w:lang w:val="fr-FR"/>
        </w:rPr>
        <w:t>Les objectifs formatifs</w:t>
      </w:r>
      <w:r w:rsidR="002D4DC2" w:rsidRPr="00477683">
        <w:rPr>
          <w:rFonts w:eastAsia="FreeSerif" w:cstheme="minorHAnsi"/>
          <w:lang w:val="fr-FR"/>
        </w:rPr>
        <w:t xml:space="preserve"> (former l’apprenant à différents niveaux : </w:t>
      </w:r>
      <w:r w:rsidR="007D15EA" w:rsidRPr="00477683">
        <w:rPr>
          <w:rFonts w:eastAsia="FreeSerif" w:cstheme="minorHAnsi"/>
          <w:lang w:val="fr-FR"/>
        </w:rPr>
        <w:t>méthodologique</w:t>
      </w:r>
      <w:r w:rsidR="00B91F0E" w:rsidRPr="00477683">
        <w:rPr>
          <w:rFonts w:eastAsia="FreeSerif" w:cstheme="minorHAnsi"/>
          <w:lang w:val="fr-FR"/>
        </w:rPr>
        <w:t xml:space="preserve">, </w:t>
      </w:r>
      <w:r w:rsidR="00D84468" w:rsidRPr="00477683">
        <w:rPr>
          <w:rFonts w:eastAsia="FreeSerif" w:cstheme="minorHAnsi"/>
          <w:lang w:val="fr-FR"/>
        </w:rPr>
        <w:t>i</w:t>
      </w:r>
      <w:r w:rsidR="00C67EA5" w:rsidRPr="00477683">
        <w:rPr>
          <w:rFonts w:eastAsia="FreeSerif" w:cstheme="minorHAnsi"/>
          <w:lang w:val="fr-FR"/>
        </w:rPr>
        <w:t>ntellectuel, moral, esthétique)</w:t>
      </w:r>
    </w:p>
    <w:p w:rsidR="003A74D3" w:rsidRPr="00477683" w:rsidRDefault="003A74D3" w:rsidP="00257710">
      <w:pPr>
        <w:pStyle w:val="Paragraphedeliste"/>
        <w:numPr>
          <w:ilvl w:val="0"/>
          <w:numId w:val="16"/>
        </w:numPr>
        <w:spacing w:after="240" w:line="240" w:lineRule="auto"/>
        <w:jc w:val="both"/>
        <w:rPr>
          <w:lang w:val="fr-FR"/>
        </w:rPr>
      </w:pPr>
      <w:r w:rsidRPr="00477683">
        <w:rPr>
          <w:rFonts w:eastAsia="FreeSerif" w:cstheme="minorHAnsi"/>
          <w:lang w:val="fr-FR"/>
        </w:rPr>
        <w:t>Les objectifs culturels (</w:t>
      </w:r>
      <w:r w:rsidR="009A048B" w:rsidRPr="00477683">
        <w:rPr>
          <w:rFonts w:eastAsia="FreeSerif" w:cstheme="minorHAnsi"/>
          <w:lang w:val="fr-FR"/>
        </w:rPr>
        <w:t xml:space="preserve">amener l’apprenant à découvrir d’autres conceptions du monde, d’autres modes de vie et de pensée, d’autres civilisations ce qui lui permettra de se situer par rapport à d’autres pratiques culturelles en relativisant </w:t>
      </w:r>
      <w:r w:rsidR="009F7F15" w:rsidRPr="00477683">
        <w:rPr>
          <w:rFonts w:eastAsia="FreeSerif" w:cstheme="minorHAnsi"/>
          <w:lang w:val="fr-FR"/>
        </w:rPr>
        <w:t>ses propres pratiques.</w:t>
      </w:r>
    </w:p>
    <w:p w:rsidR="004B0E0A" w:rsidRPr="00D94D85" w:rsidRDefault="004B0E0A" w:rsidP="00AD28F7">
      <w:pPr>
        <w:pStyle w:val="Paragraphedeliste"/>
        <w:numPr>
          <w:ilvl w:val="0"/>
          <w:numId w:val="14"/>
        </w:numPr>
        <w:spacing w:after="0"/>
        <w:jc w:val="both"/>
        <w:rPr>
          <w:b/>
          <w:bCs/>
          <w:lang w:val="fr-FR"/>
        </w:rPr>
      </w:pPr>
      <w:r>
        <w:rPr>
          <w:b/>
          <w:bCs/>
          <w:lang w:val="fr-FR"/>
        </w:rPr>
        <w:t>Autres critères</w:t>
      </w:r>
      <w:r w:rsidR="006B5EC1">
        <w:rPr>
          <w:b/>
          <w:bCs/>
          <w:lang w:val="fr-FR"/>
        </w:rPr>
        <w:t xml:space="preserve"> (4 pts)</w:t>
      </w:r>
    </w:p>
    <w:p w:rsidR="004B0E0A" w:rsidRPr="00477683" w:rsidRDefault="004B0E0A" w:rsidP="00B46F34">
      <w:pPr>
        <w:pStyle w:val="Paragraphedeliste"/>
        <w:numPr>
          <w:ilvl w:val="0"/>
          <w:numId w:val="15"/>
        </w:numPr>
        <w:spacing w:after="0"/>
        <w:ind w:left="1276"/>
        <w:jc w:val="both"/>
        <w:rPr>
          <w:lang w:val="fr-FR"/>
        </w:rPr>
      </w:pPr>
      <w:r w:rsidRPr="00477683">
        <w:rPr>
          <w:lang w:val="fr-FR"/>
        </w:rPr>
        <w:t>Respect des règles syntaxiques et orthographique</w:t>
      </w:r>
      <w:r w:rsidR="00C562D2" w:rsidRPr="00477683">
        <w:rPr>
          <w:lang w:val="fr-FR"/>
        </w:rPr>
        <w:t>s</w:t>
      </w:r>
    </w:p>
    <w:p w:rsidR="004B0E0A" w:rsidRPr="00477683" w:rsidRDefault="004B0E0A" w:rsidP="00B46F34">
      <w:pPr>
        <w:pStyle w:val="Paragraphedeliste"/>
        <w:numPr>
          <w:ilvl w:val="0"/>
          <w:numId w:val="15"/>
        </w:numPr>
        <w:spacing w:after="0"/>
        <w:ind w:left="1276"/>
        <w:jc w:val="both"/>
        <w:rPr>
          <w:lang w:val="fr-FR"/>
        </w:rPr>
      </w:pPr>
      <w:r w:rsidRPr="00477683">
        <w:rPr>
          <w:lang w:val="fr-FR"/>
        </w:rPr>
        <w:t>Style personnel</w:t>
      </w:r>
    </w:p>
    <w:p w:rsidR="00192A4C" w:rsidRDefault="00AD79C1" w:rsidP="00004BF3">
      <w:pPr>
        <w:rPr>
          <w:b/>
          <w:bCs/>
          <w:lang w:val="fr-FR"/>
        </w:rPr>
      </w:pPr>
      <w:r w:rsidRPr="00AD79C1">
        <w:rPr>
          <w:b/>
          <w:bCs/>
          <w:lang w:val="fr-FR"/>
        </w:rPr>
        <w:t>Question 2</w:t>
      </w:r>
      <w:r w:rsidR="00571CDF">
        <w:rPr>
          <w:b/>
          <w:bCs/>
          <w:lang w:val="fr-FR"/>
        </w:rPr>
        <w:t xml:space="preserve"> (4 pts)</w:t>
      </w:r>
    </w:p>
    <w:p w:rsidR="00831271" w:rsidRPr="00905702" w:rsidRDefault="00831271" w:rsidP="00F41AF6">
      <w:pPr>
        <w:spacing w:after="240"/>
        <w:rPr>
          <w:b/>
          <w:bCs/>
          <w:lang w:val="fr-FR"/>
        </w:rPr>
      </w:pPr>
      <w:r w:rsidRPr="00905702">
        <w:rPr>
          <w:b/>
          <w:bCs/>
          <w:lang w:val="fr-FR"/>
        </w:rPr>
        <w:t>Lisez le texte suivant puis répondez aux questions</w:t>
      </w:r>
      <w:r w:rsidR="00F41AF6" w:rsidRPr="00905702">
        <w:rPr>
          <w:b/>
          <w:bCs/>
          <w:lang w:val="fr-FR"/>
        </w:rPr>
        <w:t> :</w:t>
      </w:r>
    </w:p>
    <w:p w:rsidR="00467773" w:rsidRDefault="00467773" w:rsidP="001B77C7">
      <w:pPr>
        <w:spacing w:after="0" w:line="360" w:lineRule="atLeast"/>
        <w:rPr>
          <w:lang w:val="fr-FR"/>
        </w:rPr>
      </w:pPr>
      <w:r>
        <w:rPr>
          <w:lang w:val="fr-FR"/>
        </w:rPr>
        <w:t>« Ce discours me surprend, il le faut avouer.</w:t>
      </w:r>
    </w:p>
    <w:p w:rsidR="00467773" w:rsidRDefault="00467773" w:rsidP="001B77C7">
      <w:pPr>
        <w:spacing w:after="0" w:line="360" w:lineRule="atLeast"/>
        <w:rPr>
          <w:lang w:val="fr-FR"/>
        </w:rPr>
      </w:pPr>
      <w:r>
        <w:rPr>
          <w:lang w:val="fr-FR"/>
        </w:rPr>
        <w:t>Je ne vous cherchais pas pour l’entendre louer.</w:t>
      </w:r>
    </w:p>
    <w:p w:rsidR="00467773" w:rsidRDefault="00467773" w:rsidP="001B77C7">
      <w:pPr>
        <w:spacing w:after="0" w:line="360" w:lineRule="atLeast"/>
        <w:rPr>
          <w:lang w:val="fr-FR"/>
        </w:rPr>
      </w:pPr>
      <w:r>
        <w:rPr>
          <w:lang w:val="fr-FR"/>
        </w:rPr>
        <w:t>Quoi ! Pour vous confier la douleur qui m’accable,</w:t>
      </w:r>
    </w:p>
    <w:p w:rsidR="00467773" w:rsidRDefault="00F204AF" w:rsidP="001B77C7">
      <w:pPr>
        <w:spacing w:after="0" w:line="360" w:lineRule="atLeast"/>
        <w:rPr>
          <w:lang w:val="fr-FR"/>
        </w:rPr>
      </w:pPr>
      <w:r>
        <w:rPr>
          <w:rFonts w:cstheme="minorHAnsi"/>
          <w:lang w:val="fr-FR"/>
        </w:rPr>
        <w:t>À</w:t>
      </w:r>
      <w:r w:rsidR="00467773">
        <w:rPr>
          <w:lang w:val="fr-FR"/>
        </w:rPr>
        <w:t xml:space="preserve"> peine, je dérobe un moment favorable,</w:t>
      </w:r>
    </w:p>
    <w:p w:rsidR="00467773" w:rsidRDefault="00467773" w:rsidP="001B77C7">
      <w:pPr>
        <w:spacing w:after="0" w:line="360" w:lineRule="atLeast"/>
        <w:rPr>
          <w:lang w:val="fr-FR"/>
        </w:rPr>
      </w:pPr>
      <w:r>
        <w:rPr>
          <w:lang w:val="fr-FR"/>
        </w:rPr>
        <w:lastRenderedPageBreak/>
        <w:t>Et ce moment si cher, Madame, est consumé</w:t>
      </w:r>
    </w:p>
    <w:p w:rsidR="00467773" w:rsidRDefault="00F204AF" w:rsidP="001B77C7">
      <w:pPr>
        <w:spacing w:after="0" w:line="360" w:lineRule="atLeast"/>
        <w:rPr>
          <w:lang w:val="fr-FR"/>
        </w:rPr>
      </w:pPr>
      <w:r>
        <w:rPr>
          <w:rFonts w:cstheme="minorHAnsi"/>
          <w:lang w:val="fr-FR"/>
        </w:rPr>
        <w:t>À</w:t>
      </w:r>
      <w:r w:rsidR="00467773">
        <w:rPr>
          <w:lang w:val="fr-FR"/>
        </w:rPr>
        <w:t xml:space="preserve"> louer l’ennemi dont je suis opprimé !</w:t>
      </w:r>
    </w:p>
    <w:p w:rsidR="00467773" w:rsidRDefault="00467773" w:rsidP="001B77C7">
      <w:pPr>
        <w:spacing w:after="0" w:line="360" w:lineRule="atLeast"/>
        <w:rPr>
          <w:lang w:val="fr-FR"/>
        </w:rPr>
      </w:pPr>
      <w:r>
        <w:rPr>
          <w:lang w:val="fr-FR"/>
        </w:rPr>
        <w:t>Qui vous rend à vous-même, en un jour, si contraire ?</w:t>
      </w:r>
    </w:p>
    <w:p w:rsidR="00467773" w:rsidRDefault="00467773" w:rsidP="001B77C7">
      <w:pPr>
        <w:spacing w:after="0" w:line="360" w:lineRule="atLeast"/>
        <w:rPr>
          <w:lang w:val="fr-FR"/>
        </w:rPr>
      </w:pPr>
      <w:r>
        <w:rPr>
          <w:lang w:val="fr-FR"/>
        </w:rPr>
        <w:t>Quoi ! même vos regards ont appris à se taire ?</w:t>
      </w:r>
    </w:p>
    <w:p w:rsidR="00A849FA" w:rsidRDefault="00467773" w:rsidP="001B77C7">
      <w:pPr>
        <w:spacing w:after="0" w:line="360" w:lineRule="atLeast"/>
        <w:rPr>
          <w:lang w:val="fr-FR"/>
        </w:rPr>
      </w:pPr>
      <w:r>
        <w:rPr>
          <w:lang w:val="fr-FR"/>
        </w:rPr>
        <w:t xml:space="preserve">Que vois-je ? Vous craignez de rencontrer </w:t>
      </w:r>
      <w:r w:rsidR="00A849FA">
        <w:rPr>
          <w:lang w:val="fr-FR"/>
        </w:rPr>
        <w:t>mes yeux ?</w:t>
      </w:r>
    </w:p>
    <w:p w:rsidR="00A849FA" w:rsidRDefault="00A849FA" w:rsidP="001B77C7">
      <w:pPr>
        <w:spacing w:after="0" w:line="360" w:lineRule="atLeast"/>
        <w:rPr>
          <w:lang w:val="fr-FR"/>
        </w:rPr>
      </w:pPr>
      <w:r>
        <w:rPr>
          <w:lang w:val="fr-FR"/>
        </w:rPr>
        <w:t>Néron vous plairait-il ? Vous serais-je odieux ? </w:t>
      </w:r>
      <w:r w:rsidR="000F3D9C">
        <w:rPr>
          <w:rStyle w:val="Appelnotedebasdep"/>
          <w:lang w:val="fr-FR"/>
        </w:rPr>
        <w:footnoteReference w:id="2"/>
      </w:r>
      <w:r>
        <w:rPr>
          <w:lang w:val="fr-FR"/>
        </w:rPr>
        <w:t>»</w:t>
      </w:r>
    </w:p>
    <w:p w:rsidR="00A849FA" w:rsidRDefault="00A849FA" w:rsidP="00B22082">
      <w:pPr>
        <w:ind w:right="3025"/>
        <w:jc w:val="right"/>
        <w:rPr>
          <w:b/>
          <w:bCs/>
          <w:lang w:val="fr-FR"/>
        </w:rPr>
      </w:pPr>
      <w:r w:rsidRPr="00A849FA">
        <w:rPr>
          <w:b/>
          <w:bCs/>
          <w:lang w:val="fr-FR"/>
        </w:rPr>
        <w:t>Racine, Britannicus, acte II, scène 6 (1669)</w:t>
      </w:r>
    </w:p>
    <w:p w:rsidR="00906F05" w:rsidRDefault="00906F05" w:rsidP="0068510F">
      <w:pPr>
        <w:rPr>
          <w:b/>
          <w:bCs/>
          <w:lang w:val="fr-FR"/>
        </w:rPr>
      </w:pPr>
    </w:p>
    <w:p w:rsidR="0068510F" w:rsidRPr="00A849FA" w:rsidRDefault="0068510F" w:rsidP="0068510F">
      <w:pPr>
        <w:rPr>
          <w:b/>
          <w:bCs/>
          <w:lang w:val="fr-FR"/>
        </w:rPr>
      </w:pPr>
      <w:r>
        <w:rPr>
          <w:b/>
          <w:bCs/>
          <w:lang w:val="fr-FR"/>
        </w:rPr>
        <w:t>Réponse</w:t>
      </w:r>
    </w:p>
    <w:p w:rsidR="00182F75" w:rsidRPr="00180668" w:rsidRDefault="00AE5B21" w:rsidP="00896486">
      <w:pPr>
        <w:pStyle w:val="Paragraphedeliste"/>
        <w:numPr>
          <w:ilvl w:val="0"/>
          <w:numId w:val="7"/>
        </w:numPr>
        <w:tabs>
          <w:tab w:val="left" w:pos="1320"/>
          <w:tab w:val="right" w:pos="10538"/>
        </w:tabs>
        <w:spacing w:before="120" w:after="120"/>
        <w:ind w:left="714" w:hanging="357"/>
        <w:contextualSpacing w:val="0"/>
        <w:rPr>
          <w:b/>
          <w:bCs/>
          <w:lang w:val="fr-FR"/>
        </w:rPr>
      </w:pPr>
      <w:r w:rsidRPr="00180668">
        <w:rPr>
          <w:b/>
          <w:bCs/>
          <w:lang w:val="fr-FR"/>
        </w:rPr>
        <w:t>Etudiez</w:t>
      </w:r>
      <w:r w:rsidR="009A302B" w:rsidRPr="00180668">
        <w:rPr>
          <w:b/>
          <w:bCs/>
          <w:lang w:val="fr-FR"/>
        </w:rPr>
        <w:t xml:space="preserve"> le texte en </w:t>
      </w:r>
      <w:r w:rsidR="004024B5" w:rsidRPr="00180668">
        <w:rPr>
          <w:b/>
          <w:bCs/>
          <w:lang w:val="fr-FR"/>
        </w:rPr>
        <w:t>cochant la bonne réponse :</w:t>
      </w:r>
    </w:p>
    <w:p w:rsidR="004024B5" w:rsidRPr="001B77C7" w:rsidRDefault="004024B5" w:rsidP="00A961B9">
      <w:pPr>
        <w:pStyle w:val="Paragraphedeliste"/>
        <w:numPr>
          <w:ilvl w:val="0"/>
          <w:numId w:val="8"/>
        </w:numPr>
        <w:tabs>
          <w:tab w:val="left" w:pos="1320"/>
        </w:tabs>
        <w:spacing w:before="120" w:after="120"/>
        <w:ind w:left="567" w:hanging="357"/>
        <w:contextualSpacing w:val="0"/>
        <w:rPr>
          <w:lang w:val="fr-FR"/>
        </w:rPr>
      </w:pPr>
      <w:r w:rsidRPr="001B77C7">
        <w:rPr>
          <w:b/>
          <w:bCs/>
          <w:lang w:val="fr-FR"/>
        </w:rPr>
        <w:t>Vocabulaire </w:t>
      </w:r>
      <w:r w:rsidRPr="001B77C7">
        <w:rPr>
          <w:lang w:val="fr-FR"/>
        </w:rPr>
        <w:t xml:space="preserve">: </w:t>
      </w:r>
      <w:r w:rsidR="001B77C7">
        <w:rPr>
          <w:lang w:val="fr-FR"/>
        </w:rPr>
        <w:tab/>
      </w:r>
      <w:r w:rsidRPr="001B77C7">
        <w:rPr>
          <w:lang w:val="fr-FR"/>
        </w:rPr>
        <w:tab/>
        <w:t>difficile</w:t>
      </w:r>
      <w:r w:rsidR="00571CDF">
        <w:rPr>
          <w:lang w:val="fr-FR"/>
        </w:rPr>
        <w:t xml:space="preserve"> </w:t>
      </w:r>
      <w:r w:rsidR="00571CDF" w:rsidRPr="00571CDF">
        <w:rPr>
          <w:b/>
          <w:bCs/>
          <w:lang w:val="fr-FR"/>
        </w:rPr>
        <w:t>(0.5 pt)</w:t>
      </w:r>
    </w:p>
    <w:p w:rsidR="004024B5" w:rsidRDefault="004024B5" w:rsidP="00A961B9">
      <w:pPr>
        <w:pStyle w:val="Paragraphedeliste"/>
        <w:numPr>
          <w:ilvl w:val="0"/>
          <w:numId w:val="8"/>
        </w:numPr>
        <w:tabs>
          <w:tab w:val="left" w:pos="1320"/>
        </w:tabs>
        <w:spacing w:before="120" w:after="120"/>
        <w:ind w:left="567"/>
        <w:contextualSpacing w:val="0"/>
        <w:rPr>
          <w:lang w:val="fr-FR"/>
        </w:rPr>
      </w:pPr>
      <w:r w:rsidRPr="001B77C7">
        <w:rPr>
          <w:b/>
          <w:bCs/>
          <w:lang w:val="fr-FR"/>
        </w:rPr>
        <w:t>Syntaxe</w:t>
      </w:r>
      <w:r w:rsidRPr="00627186">
        <w:rPr>
          <w:lang w:val="fr-FR"/>
        </w:rPr>
        <w:t xml:space="preserve"> </w:t>
      </w:r>
      <w:r w:rsidR="00627186" w:rsidRPr="00627186">
        <w:rPr>
          <w:lang w:val="fr-FR"/>
        </w:rPr>
        <w:t>(</w:t>
      </w:r>
      <w:r w:rsidRPr="00627186">
        <w:rPr>
          <w:lang w:val="fr-FR"/>
        </w:rPr>
        <w:t>tournures de phrases</w:t>
      </w:r>
      <w:r w:rsidR="00627186" w:rsidRPr="00627186">
        <w:rPr>
          <w:lang w:val="fr-FR"/>
        </w:rPr>
        <w:t>)</w:t>
      </w:r>
      <w:r w:rsidRPr="00627186">
        <w:rPr>
          <w:lang w:val="fr-FR"/>
        </w:rPr>
        <w:t xml:space="preserve"> : </w:t>
      </w:r>
      <w:r w:rsidR="001B77C7">
        <w:rPr>
          <w:lang w:val="fr-FR"/>
        </w:rPr>
        <w:tab/>
      </w:r>
      <w:r w:rsidR="001B77C7">
        <w:rPr>
          <w:lang w:val="fr-FR"/>
        </w:rPr>
        <w:tab/>
      </w:r>
      <w:proofErr w:type="gramStart"/>
      <w:r w:rsidRPr="00627186">
        <w:rPr>
          <w:lang w:val="fr-FR"/>
        </w:rPr>
        <w:t>difficile</w:t>
      </w:r>
      <w:r w:rsidR="00571CDF" w:rsidRPr="00571CDF">
        <w:rPr>
          <w:b/>
          <w:bCs/>
          <w:lang w:val="fr-FR"/>
        </w:rPr>
        <w:t>(</w:t>
      </w:r>
      <w:proofErr w:type="gramEnd"/>
      <w:r w:rsidR="00571CDF" w:rsidRPr="00571CDF">
        <w:rPr>
          <w:b/>
          <w:bCs/>
          <w:lang w:val="fr-FR"/>
        </w:rPr>
        <w:t>0.5 pt)</w:t>
      </w:r>
    </w:p>
    <w:p w:rsidR="00627186" w:rsidRDefault="00627186" w:rsidP="00A961B9">
      <w:pPr>
        <w:pStyle w:val="Paragraphedeliste"/>
        <w:numPr>
          <w:ilvl w:val="0"/>
          <w:numId w:val="8"/>
        </w:numPr>
        <w:tabs>
          <w:tab w:val="left" w:pos="1320"/>
        </w:tabs>
        <w:spacing w:before="120" w:after="120"/>
        <w:ind w:left="567"/>
        <w:contextualSpacing w:val="0"/>
        <w:rPr>
          <w:lang w:val="fr-FR"/>
        </w:rPr>
      </w:pPr>
      <w:r w:rsidRPr="001B77C7">
        <w:rPr>
          <w:b/>
          <w:bCs/>
          <w:lang w:val="fr-FR"/>
        </w:rPr>
        <w:t>Langue</w:t>
      </w:r>
      <w:r>
        <w:rPr>
          <w:lang w:val="fr-FR"/>
        </w:rPr>
        <w:t xml:space="preserve"> : </w:t>
      </w:r>
      <w:r w:rsidR="00896486">
        <w:rPr>
          <w:lang w:val="fr-FR"/>
        </w:rPr>
        <w:tab/>
      </w:r>
      <w:r w:rsidR="00896486">
        <w:rPr>
          <w:lang w:val="fr-FR"/>
        </w:rPr>
        <w:tab/>
      </w:r>
      <w:r>
        <w:rPr>
          <w:lang w:val="fr-FR"/>
        </w:rPr>
        <w:t>classique</w:t>
      </w:r>
      <w:r w:rsidR="00571CDF">
        <w:rPr>
          <w:lang w:val="fr-FR"/>
        </w:rPr>
        <w:t xml:space="preserve"> </w:t>
      </w:r>
      <w:r w:rsidR="00571CDF" w:rsidRPr="00571CDF">
        <w:rPr>
          <w:b/>
          <w:bCs/>
          <w:lang w:val="fr-FR"/>
        </w:rPr>
        <w:t>(1pt)</w:t>
      </w:r>
    </w:p>
    <w:p w:rsidR="00A849FA" w:rsidRDefault="00182F75" w:rsidP="00896486">
      <w:pPr>
        <w:pStyle w:val="Paragraphedeliste"/>
        <w:numPr>
          <w:ilvl w:val="0"/>
          <w:numId w:val="7"/>
        </w:numPr>
        <w:tabs>
          <w:tab w:val="left" w:pos="1320"/>
          <w:tab w:val="right" w:pos="10538"/>
        </w:tabs>
        <w:spacing w:before="120" w:after="120"/>
        <w:contextualSpacing w:val="0"/>
        <w:rPr>
          <w:b/>
          <w:bCs/>
          <w:lang w:val="fr-FR"/>
        </w:rPr>
      </w:pPr>
      <w:r w:rsidRPr="00180668">
        <w:rPr>
          <w:b/>
          <w:bCs/>
          <w:lang w:val="fr-FR"/>
        </w:rPr>
        <w:t>Peut-on utiliser ce texte pour une séance de compréhension de l’écrit ? Dites Pourquoi ?</w:t>
      </w:r>
      <w:r w:rsidR="00D6100C">
        <w:rPr>
          <w:b/>
          <w:bCs/>
          <w:lang w:val="fr-FR"/>
        </w:rPr>
        <w:t xml:space="preserve"> (2 pts)</w:t>
      </w:r>
    </w:p>
    <w:p w:rsidR="0050072D" w:rsidRDefault="0050072D" w:rsidP="0050072D">
      <w:pPr>
        <w:spacing w:after="0" w:line="360" w:lineRule="atLeast"/>
        <w:rPr>
          <w:lang w:val="fr-FR"/>
        </w:rPr>
      </w:pPr>
      <w:r>
        <w:rPr>
          <w:b/>
          <w:bCs/>
          <w:lang w:val="fr-FR"/>
        </w:rPr>
        <w:t>Le texte ne peut être utilisé pour une séance de compréhension de l’écrit en raison des particularités linguistiques qu’il présente (acceptions et tournures qui ne sont plus d’usage, ce qui gêne l’apprenant et qui ne peuvent être réutilisables (Ex</w:t>
      </w:r>
      <w:r w:rsidR="00B82408">
        <w:rPr>
          <w:b/>
          <w:bCs/>
          <w:lang w:val="fr-FR"/>
        </w:rPr>
        <w:t>emples de tournures</w:t>
      </w:r>
      <w:r>
        <w:rPr>
          <w:b/>
          <w:bCs/>
          <w:lang w:val="fr-FR"/>
        </w:rPr>
        <w:t xml:space="preserve"> : </w:t>
      </w:r>
      <w:r>
        <w:rPr>
          <w:lang w:val="fr-FR"/>
        </w:rPr>
        <w:t>il le faut avouer, Je ne vous cher</w:t>
      </w:r>
      <w:r w:rsidR="00B82408">
        <w:rPr>
          <w:lang w:val="fr-FR"/>
        </w:rPr>
        <w:t>chais pas pour l’entendre louer…</w:t>
      </w:r>
      <w:r w:rsidR="00D118DE">
        <w:rPr>
          <w:lang w:val="fr-FR"/>
        </w:rPr>
        <w:t>) et du thème qui pourrait ne pas être d’actualité.</w:t>
      </w:r>
    </w:p>
    <w:p w:rsidR="00896486" w:rsidRPr="00896486" w:rsidRDefault="00896486" w:rsidP="00896486">
      <w:pPr>
        <w:tabs>
          <w:tab w:val="left" w:pos="1320"/>
          <w:tab w:val="right" w:pos="10538"/>
        </w:tabs>
        <w:spacing w:before="120" w:after="120"/>
        <w:rPr>
          <w:b/>
          <w:bCs/>
          <w:lang w:val="fr-FR"/>
        </w:rPr>
      </w:pPr>
    </w:p>
    <w:p w:rsidR="00784C98" w:rsidRDefault="00A849FA" w:rsidP="00A849FA">
      <w:pPr>
        <w:tabs>
          <w:tab w:val="left" w:pos="1320"/>
          <w:tab w:val="right" w:pos="10538"/>
        </w:tabs>
        <w:rPr>
          <w:b/>
          <w:bCs/>
          <w:lang w:val="fr-FR"/>
        </w:rPr>
      </w:pPr>
      <w:r>
        <w:rPr>
          <w:b/>
          <w:bCs/>
          <w:lang w:val="fr-FR"/>
        </w:rPr>
        <w:tab/>
      </w:r>
      <w:r>
        <w:rPr>
          <w:b/>
          <w:bCs/>
          <w:lang w:val="fr-FR"/>
        </w:rPr>
        <w:tab/>
      </w:r>
      <w:r w:rsidR="00F11E81" w:rsidRPr="00F11E81">
        <w:rPr>
          <w:b/>
          <w:bCs/>
          <w:lang w:val="fr-FR"/>
        </w:rPr>
        <w:t>Bon courage</w:t>
      </w:r>
    </w:p>
    <w:p w:rsidR="00784C98" w:rsidRPr="00784C98" w:rsidRDefault="00784C98" w:rsidP="00784C98">
      <w:pPr>
        <w:rPr>
          <w:lang w:val="fr-FR"/>
        </w:rPr>
      </w:pPr>
    </w:p>
    <w:p w:rsidR="00784C98" w:rsidRPr="00784C98" w:rsidRDefault="00784C98" w:rsidP="00784C98">
      <w:pPr>
        <w:rPr>
          <w:lang w:val="fr-FR"/>
        </w:rPr>
      </w:pPr>
    </w:p>
    <w:p w:rsidR="00784C98" w:rsidRDefault="00784C98" w:rsidP="00784C98">
      <w:pPr>
        <w:rPr>
          <w:lang w:val="fr-FR"/>
        </w:rPr>
      </w:pPr>
    </w:p>
    <w:sectPr w:rsidR="00784C98" w:rsidSect="000B5886">
      <w:headerReference w:type="first" r:id="rId8"/>
      <w:pgSz w:w="12240" w:h="15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2C" w:rsidRDefault="0051352C" w:rsidP="00A528EA">
      <w:pPr>
        <w:spacing w:after="0" w:line="240" w:lineRule="auto"/>
      </w:pPr>
      <w:r>
        <w:separator/>
      </w:r>
    </w:p>
  </w:endnote>
  <w:endnote w:type="continuationSeparator" w:id="0">
    <w:p w:rsidR="0051352C" w:rsidRDefault="0051352C" w:rsidP="00A5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erif">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2C" w:rsidRDefault="0051352C" w:rsidP="00A528EA">
      <w:pPr>
        <w:spacing w:after="0" w:line="240" w:lineRule="auto"/>
      </w:pPr>
      <w:r>
        <w:separator/>
      </w:r>
    </w:p>
  </w:footnote>
  <w:footnote w:type="continuationSeparator" w:id="0">
    <w:p w:rsidR="0051352C" w:rsidRDefault="0051352C" w:rsidP="00A528EA">
      <w:pPr>
        <w:spacing w:after="0" w:line="240" w:lineRule="auto"/>
      </w:pPr>
      <w:r>
        <w:continuationSeparator/>
      </w:r>
    </w:p>
  </w:footnote>
  <w:footnote w:id="1">
    <w:p w:rsidR="0004338A" w:rsidRPr="00004BF3" w:rsidRDefault="0004338A">
      <w:pPr>
        <w:pStyle w:val="Notedebasdepage"/>
        <w:rPr>
          <w:lang w:val="fr-FR"/>
        </w:rPr>
      </w:pPr>
      <w:r>
        <w:rPr>
          <w:rStyle w:val="Appelnotedebasdep"/>
        </w:rPr>
        <w:footnoteRef/>
      </w:r>
      <w:r w:rsidRPr="0004338A">
        <w:rPr>
          <w:lang w:val="fr-FR"/>
        </w:rPr>
        <w:t xml:space="preserve"> GODARD, A. 2015. </w:t>
      </w:r>
      <w:r w:rsidRPr="0004338A">
        <w:rPr>
          <w:i/>
          <w:iCs/>
          <w:lang w:val="fr-FR"/>
        </w:rPr>
        <w:t>La littérature dans l’enseignement du FLE</w:t>
      </w:r>
      <w:r w:rsidR="00004BF3">
        <w:rPr>
          <w:lang w:val="fr-FR"/>
        </w:rPr>
        <w:t xml:space="preserve">, </w:t>
      </w:r>
      <w:r w:rsidR="00004BF3" w:rsidRPr="00004BF3">
        <w:rPr>
          <w:lang w:val="fr-FR"/>
        </w:rPr>
        <w:t xml:space="preserve">Les </w:t>
      </w:r>
      <w:r w:rsidR="00004BF3" w:rsidRPr="00004BF3">
        <w:rPr>
          <w:rFonts w:hint="eastAsia"/>
          <w:lang w:val="fr-FR"/>
        </w:rPr>
        <w:t>É</w:t>
      </w:r>
      <w:r w:rsidR="00004BF3" w:rsidRPr="00004BF3">
        <w:rPr>
          <w:lang w:val="fr-FR"/>
        </w:rPr>
        <w:t>ditions Didier</w:t>
      </w:r>
      <w:r w:rsidR="00004BF3">
        <w:rPr>
          <w:lang w:val="fr-FR"/>
        </w:rPr>
        <w:t>. pp. 4-5.</w:t>
      </w:r>
    </w:p>
  </w:footnote>
  <w:footnote w:id="2">
    <w:p w:rsidR="000F3D9C" w:rsidRPr="000F3D9C" w:rsidRDefault="000F3D9C">
      <w:pPr>
        <w:pStyle w:val="Notedebasdepage"/>
        <w:rPr>
          <w:lang w:val="fr-FR"/>
        </w:rPr>
      </w:pPr>
      <w:r>
        <w:rPr>
          <w:rStyle w:val="Appelnotedebasdep"/>
        </w:rPr>
        <w:footnoteRef/>
      </w:r>
      <w:r w:rsidRPr="000F3D9C">
        <w:rPr>
          <w:lang w:val="fr-FR"/>
        </w:rPr>
        <w:t xml:space="preserve"> BENTAIFOUR, B., 2009. </w:t>
      </w:r>
      <w:r w:rsidRPr="000F3D9C">
        <w:rPr>
          <w:i/>
          <w:iCs/>
          <w:lang w:val="fr-FR"/>
        </w:rPr>
        <w:t>Didactique du texte littéraire. Choisir et exploiter un texte pour la classe.</w:t>
      </w:r>
      <w:r w:rsidRPr="000F3D9C">
        <w:rPr>
          <w:lang w:val="fr-FR"/>
        </w:rPr>
        <w:t xml:space="preserve"> </w:t>
      </w:r>
      <w:r>
        <w:t>Alger, THALA Edition, p</w:t>
      </w:r>
      <w:r w:rsidR="00E25DE7">
        <w:t>. 49.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86" w:rsidRPr="00820D54" w:rsidRDefault="000B5886" w:rsidP="000B5886">
    <w:pPr>
      <w:pStyle w:val="En-tte"/>
      <w:jc w:val="center"/>
      <w:rPr>
        <w:rFonts w:eastAsia="Times New Roman" w:cstheme="minorHAnsi"/>
        <w:b/>
        <w:bCs/>
        <w:sz w:val="18"/>
        <w:szCs w:val="18"/>
        <w:lang w:val="fr-FR"/>
      </w:rPr>
    </w:pPr>
    <w:r w:rsidRPr="00820D54">
      <w:rPr>
        <w:rFonts w:eastAsia="Times New Roman" w:cstheme="minorHAnsi"/>
        <w:b/>
        <w:bCs/>
        <w:sz w:val="18"/>
        <w:szCs w:val="18"/>
        <w:lang w:val="fr-FR"/>
      </w:rPr>
      <w:t>Université Batna -2-</w:t>
    </w:r>
  </w:p>
  <w:p w:rsidR="000B5886" w:rsidRPr="00820D54" w:rsidRDefault="000B5886" w:rsidP="000B5886">
    <w:pPr>
      <w:pStyle w:val="En-tte"/>
      <w:jc w:val="center"/>
      <w:rPr>
        <w:rFonts w:eastAsia="Times New Roman" w:cstheme="minorHAnsi"/>
        <w:b/>
        <w:bCs/>
        <w:sz w:val="18"/>
        <w:szCs w:val="18"/>
        <w:lang w:val="fr-FR"/>
      </w:rPr>
    </w:pPr>
    <w:r w:rsidRPr="00820D54">
      <w:rPr>
        <w:rFonts w:eastAsia="Times New Roman" w:cstheme="minorHAnsi"/>
        <w:b/>
        <w:bCs/>
        <w:sz w:val="18"/>
        <w:szCs w:val="18"/>
        <w:lang w:val="fr-FR"/>
      </w:rPr>
      <w:t>Faculté des Lettres et Langues Etrangères</w:t>
    </w:r>
  </w:p>
  <w:p w:rsidR="000B5886" w:rsidRPr="00820D54" w:rsidRDefault="000B5886" w:rsidP="000B5886">
    <w:pPr>
      <w:pStyle w:val="En-tte"/>
      <w:jc w:val="center"/>
      <w:rPr>
        <w:rFonts w:cstheme="minorHAnsi"/>
        <w:b/>
        <w:bCs/>
        <w:sz w:val="18"/>
        <w:szCs w:val="18"/>
        <w:lang w:val="fr-FR"/>
      </w:rPr>
    </w:pPr>
    <w:r w:rsidRPr="00820D54">
      <w:rPr>
        <w:rFonts w:eastAsia="Times New Roman" w:cstheme="minorHAnsi"/>
        <w:b/>
        <w:bCs/>
        <w:sz w:val="18"/>
        <w:szCs w:val="18"/>
        <w:lang w:val="fr-FR"/>
      </w:rPr>
      <w:t>Département de langue et littérature françaises</w:t>
    </w:r>
  </w:p>
  <w:p w:rsidR="000B5886" w:rsidRPr="00820D54" w:rsidRDefault="000B5886" w:rsidP="00C01D1D">
    <w:pPr>
      <w:pStyle w:val="En-tte"/>
      <w:pBdr>
        <w:bottom w:val="thinThickSmallGap" w:sz="24" w:space="1" w:color="auto"/>
      </w:pBdr>
      <w:tabs>
        <w:tab w:val="clear" w:pos="4703"/>
        <w:tab w:val="clear" w:pos="9406"/>
        <w:tab w:val="left" w:pos="7371"/>
      </w:tabs>
      <w:rPr>
        <w:rFonts w:cstheme="minorHAnsi"/>
        <w:sz w:val="18"/>
        <w:szCs w:val="18"/>
        <w:lang w:val="fr-FR"/>
      </w:rPr>
    </w:pPr>
    <w:r w:rsidRPr="00820D54">
      <w:rPr>
        <w:rFonts w:cstheme="minorHAnsi"/>
        <w:b/>
        <w:bCs/>
        <w:sz w:val="18"/>
        <w:szCs w:val="18"/>
        <w:lang w:val="fr-FR"/>
      </w:rPr>
      <w:t>Module :</w:t>
    </w:r>
    <w:r w:rsidRPr="00820D54">
      <w:rPr>
        <w:rFonts w:cstheme="minorHAnsi"/>
        <w:sz w:val="18"/>
        <w:szCs w:val="18"/>
        <w:lang w:val="fr-FR"/>
      </w:rPr>
      <w:t xml:space="preserve"> </w:t>
    </w:r>
    <w:r w:rsidR="00C01D1D" w:rsidRPr="00820D54">
      <w:rPr>
        <w:rFonts w:cstheme="minorHAnsi"/>
        <w:sz w:val="18"/>
        <w:szCs w:val="18"/>
        <w:lang w:val="fr-FR"/>
      </w:rPr>
      <w:t>DIDACTIQUE DES TEXTES LITTÉRAIRES</w:t>
    </w:r>
    <w:r w:rsidR="004B4D54" w:rsidRPr="00820D54">
      <w:rPr>
        <w:rFonts w:cstheme="minorHAnsi"/>
        <w:sz w:val="18"/>
        <w:szCs w:val="18"/>
        <w:lang w:val="fr-FR"/>
      </w:rPr>
      <w:tab/>
    </w:r>
    <w:r w:rsidR="004B4D54" w:rsidRPr="00820D54">
      <w:rPr>
        <w:rFonts w:cstheme="minorHAnsi"/>
        <w:b/>
        <w:bCs/>
        <w:sz w:val="18"/>
        <w:szCs w:val="18"/>
        <w:lang w:val="fr-FR"/>
      </w:rPr>
      <w:t xml:space="preserve">Spécialités : </w:t>
    </w:r>
    <w:r w:rsidR="00087664" w:rsidRPr="00820D54">
      <w:rPr>
        <w:rFonts w:cstheme="minorHAnsi"/>
        <w:sz w:val="18"/>
        <w:szCs w:val="18"/>
        <w:lang w:val="fr-FR"/>
      </w:rPr>
      <w:t>LAI, DLE</w:t>
    </w:r>
    <w:r w:rsidR="004B4D54" w:rsidRPr="00820D54">
      <w:rPr>
        <w:rFonts w:cstheme="minorHAnsi"/>
        <w:sz w:val="18"/>
        <w:szCs w:val="18"/>
        <w:lang w:val="fr-FR"/>
      </w:rPr>
      <w:t>, SDL</w:t>
    </w:r>
  </w:p>
  <w:p w:rsidR="000B5886" w:rsidRPr="00820D54" w:rsidRDefault="000B5886" w:rsidP="00022068">
    <w:pPr>
      <w:pStyle w:val="En-tte"/>
      <w:pBdr>
        <w:bottom w:val="thinThickSmallGap" w:sz="24" w:space="1" w:color="auto"/>
      </w:pBdr>
      <w:tabs>
        <w:tab w:val="clear" w:pos="4703"/>
        <w:tab w:val="clear" w:pos="9406"/>
        <w:tab w:val="left" w:pos="7371"/>
      </w:tabs>
      <w:rPr>
        <w:rFonts w:cstheme="minorHAnsi"/>
        <w:sz w:val="18"/>
        <w:szCs w:val="18"/>
        <w:lang w:val="fr-FR"/>
      </w:rPr>
    </w:pPr>
    <w:r w:rsidRPr="00820D54">
      <w:rPr>
        <w:rFonts w:cstheme="minorHAnsi"/>
        <w:b/>
        <w:bCs/>
        <w:sz w:val="18"/>
        <w:szCs w:val="18"/>
        <w:lang w:val="fr-FR"/>
      </w:rPr>
      <w:t>Niveau :</w:t>
    </w:r>
    <w:r w:rsidR="00C01D1D" w:rsidRPr="00820D54">
      <w:rPr>
        <w:rFonts w:cstheme="minorHAnsi"/>
        <w:sz w:val="18"/>
        <w:szCs w:val="18"/>
        <w:lang w:val="fr-FR"/>
      </w:rPr>
      <w:t xml:space="preserve"> MASTER 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0E"/>
    <w:multiLevelType w:val="hybridMultilevel"/>
    <w:tmpl w:val="D3DE98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81743"/>
    <w:multiLevelType w:val="hybridMultilevel"/>
    <w:tmpl w:val="A858C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C0F7D"/>
    <w:multiLevelType w:val="hybridMultilevel"/>
    <w:tmpl w:val="D990F26A"/>
    <w:lvl w:ilvl="0" w:tplc="0409000B">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 w15:restartNumberingAfterBreak="0">
    <w:nsid w:val="161B44E1"/>
    <w:multiLevelType w:val="multilevel"/>
    <w:tmpl w:val="78C6B1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B44702"/>
    <w:multiLevelType w:val="hybridMultilevel"/>
    <w:tmpl w:val="A01E27A6"/>
    <w:lvl w:ilvl="0" w:tplc="660A0F3E">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A4004"/>
    <w:multiLevelType w:val="hybridMultilevel"/>
    <w:tmpl w:val="400C5B6C"/>
    <w:lvl w:ilvl="0" w:tplc="C3644538">
      <w:start w:val="1"/>
      <w:numFmt w:val="decimal"/>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F580DA6"/>
    <w:multiLevelType w:val="hybridMultilevel"/>
    <w:tmpl w:val="96FA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0107D"/>
    <w:multiLevelType w:val="hybridMultilevel"/>
    <w:tmpl w:val="777E942A"/>
    <w:lvl w:ilvl="0" w:tplc="8DDA50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A1DCD"/>
    <w:multiLevelType w:val="hybridMultilevel"/>
    <w:tmpl w:val="0EA87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5D308E"/>
    <w:multiLevelType w:val="hybridMultilevel"/>
    <w:tmpl w:val="C6DEE0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60534E5"/>
    <w:multiLevelType w:val="hybridMultilevel"/>
    <w:tmpl w:val="BA60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342FF"/>
    <w:multiLevelType w:val="hybridMultilevel"/>
    <w:tmpl w:val="EF9E37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01721C6"/>
    <w:multiLevelType w:val="hybridMultilevel"/>
    <w:tmpl w:val="A4BE88E2"/>
    <w:lvl w:ilvl="0" w:tplc="A8D8E52C">
      <w:start w:val="1"/>
      <w:numFmt w:val="decimal"/>
      <w:lvlText w:val="%1."/>
      <w:lvlJc w:val="left"/>
      <w:pPr>
        <w:ind w:left="1637"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706FE"/>
    <w:multiLevelType w:val="hybridMultilevel"/>
    <w:tmpl w:val="DA5A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66587"/>
    <w:multiLevelType w:val="hybridMultilevel"/>
    <w:tmpl w:val="6CAE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6532B"/>
    <w:multiLevelType w:val="hybridMultilevel"/>
    <w:tmpl w:val="D57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10"/>
  </w:num>
  <w:num w:numId="5">
    <w:abstractNumId w:val="11"/>
  </w:num>
  <w:num w:numId="6">
    <w:abstractNumId w:val="3"/>
  </w:num>
  <w:num w:numId="7">
    <w:abstractNumId w:val="14"/>
  </w:num>
  <w:num w:numId="8">
    <w:abstractNumId w:val="13"/>
  </w:num>
  <w:num w:numId="9">
    <w:abstractNumId w:val="6"/>
  </w:num>
  <w:num w:numId="10">
    <w:abstractNumId w:val="4"/>
  </w:num>
  <w:num w:numId="11">
    <w:abstractNumId w:val="7"/>
  </w:num>
  <w:num w:numId="12">
    <w:abstractNumId w:val="8"/>
  </w:num>
  <w:num w:numId="13">
    <w:abstractNumId w:val="9"/>
  </w:num>
  <w:num w:numId="14">
    <w:abstractNumId w:val="5"/>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D8"/>
    <w:rsid w:val="0000053E"/>
    <w:rsid w:val="00004BF3"/>
    <w:rsid w:val="00022068"/>
    <w:rsid w:val="00023A52"/>
    <w:rsid w:val="000245E1"/>
    <w:rsid w:val="0003063C"/>
    <w:rsid w:val="0004338A"/>
    <w:rsid w:val="0004565F"/>
    <w:rsid w:val="00046FF8"/>
    <w:rsid w:val="000836DA"/>
    <w:rsid w:val="00087664"/>
    <w:rsid w:val="00095ED5"/>
    <w:rsid w:val="000A15B8"/>
    <w:rsid w:val="000A1ED5"/>
    <w:rsid w:val="000A6926"/>
    <w:rsid w:val="000B5886"/>
    <w:rsid w:val="000D1777"/>
    <w:rsid w:val="000E15AB"/>
    <w:rsid w:val="000F3D9C"/>
    <w:rsid w:val="000F59C7"/>
    <w:rsid w:val="001244F3"/>
    <w:rsid w:val="00127489"/>
    <w:rsid w:val="001649EA"/>
    <w:rsid w:val="00180668"/>
    <w:rsid w:val="00182F75"/>
    <w:rsid w:val="00191D3A"/>
    <w:rsid w:val="00192A4C"/>
    <w:rsid w:val="001A0022"/>
    <w:rsid w:val="001B314F"/>
    <w:rsid w:val="001B77C7"/>
    <w:rsid w:val="001D16E8"/>
    <w:rsid w:val="00205F66"/>
    <w:rsid w:val="00214AD9"/>
    <w:rsid w:val="00241DB8"/>
    <w:rsid w:val="00243014"/>
    <w:rsid w:val="00250D3E"/>
    <w:rsid w:val="00250F2D"/>
    <w:rsid w:val="00257710"/>
    <w:rsid w:val="0026214C"/>
    <w:rsid w:val="00267CE6"/>
    <w:rsid w:val="002772F8"/>
    <w:rsid w:val="00286016"/>
    <w:rsid w:val="00292799"/>
    <w:rsid w:val="002A00D3"/>
    <w:rsid w:val="002A45AE"/>
    <w:rsid w:val="002A6F73"/>
    <w:rsid w:val="002C361B"/>
    <w:rsid w:val="002D4DC2"/>
    <w:rsid w:val="002D57E0"/>
    <w:rsid w:val="00344BC5"/>
    <w:rsid w:val="003A74C1"/>
    <w:rsid w:val="003A74D3"/>
    <w:rsid w:val="003B78B6"/>
    <w:rsid w:val="003C3799"/>
    <w:rsid w:val="004024B5"/>
    <w:rsid w:val="00411E32"/>
    <w:rsid w:val="00442AA5"/>
    <w:rsid w:val="004527E8"/>
    <w:rsid w:val="00461D6A"/>
    <w:rsid w:val="00467773"/>
    <w:rsid w:val="00473FAD"/>
    <w:rsid w:val="00477683"/>
    <w:rsid w:val="004819DC"/>
    <w:rsid w:val="004A7853"/>
    <w:rsid w:val="004B0E0A"/>
    <w:rsid w:val="004B4D54"/>
    <w:rsid w:val="004F2343"/>
    <w:rsid w:val="004F331B"/>
    <w:rsid w:val="0050072D"/>
    <w:rsid w:val="0050340A"/>
    <w:rsid w:val="005118D9"/>
    <w:rsid w:val="0051352C"/>
    <w:rsid w:val="00535742"/>
    <w:rsid w:val="00543BD8"/>
    <w:rsid w:val="00551296"/>
    <w:rsid w:val="005552DF"/>
    <w:rsid w:val="005675C8"/>
    <w:rsid w:val="00571CDF"/>
    <w:rsid w:val="005A6910"/>
    <w:rsid w:val="005A7782"/>
    <w:rsid w:val="005C053E"/>
    <w:rsid w:val="005E3C3E"/>
    <w:rsid w:val="005F73F9"/>
    <w:rsid w:val="00603A28"/>
    <w:rsid w:val="00612B1C"/>
    <w:rsid w:val="00627186"/>
    <w:rsid w:val="00635D74"/>
    <w:rsid w:val="00680363"/>
    <w:rsid w:val="0068510F"/>
    <w:rsid w:val="006A1978"/>
    <w:rsid w:val="006B5EC1"/>
    <w:rsid w:val="006C141B"/>
    <w:rsid w:val="006C5748"/>
    <w:rsid w:val="006D5B75"/>
    <w:rsid w:val="006E6A38"/>
    <w:rsid w:val="006E6C0E"/>
    <w:rsid w:val="006F1C80"/>
    <w:rsid w:val="007012EA"/>
    <w:rsid w:val="00707B79"/>
    <w:rsid w:val="00721F56"/>
    <w:rsid w:val="00722809"/>
    <w:rsid w:val="00746FCF"/>
    <w:rsid w:val="00764605"/>
    <w:rsid w:val="00766B02"/>
    <w:rsid w:val="00784C98"/>
    <w:rsid w:val="007A367F"/>
    <w:rsid w:val="007A3E82"/>
    <w:rsid w:val="007D15EA"/>
    <w:rsid w:val="007E4227"/>
    <w:rsid w:val="007F5072"/>
    <w:rsid w:val="0081353A"/>
    <w:rsid w:val="00820D54"/>
    <w:rsid w:val="00831271"/>
    <w:rsid w:val="00834D50"/>
    <w:rsid w:val="00846E84"/>
    <w:rsid w:val="00847775"/>
    <w:rsid w:val="00853AEA"/>
    <w:rsid w:val="00863C14"/>
    <w:rsid w:val="00870DCC"/>
    <w:rsid w:val="00896486"/>
    <w:rsid w:val="008A3C74"/>
    <w:rsid w:val="008B54AD"/>
    <w:rsid w:val="008B6E8E"/>
    <w:rsid w:val="008C03D9"/>
    <w:rsid w:val="008C3F66"/>
    <w:rsid w:val="008E6285"/>
    <w:rsid w:val="00902D65"/>
    <w:rsid w:val="00905702"/>
    <w:rsid w:val="00906F05"/>
    <w:rsid w:val="00936F05"/>
    <w:rsid w:val="00945D9B"/>
    <w:rsid w:val="009461A9"/>
    <w:rsid w:val="0095409B"/>
    <w:rsid w:val="0098442D"/>
    <w:rsid w:val="00984D36"/>
    <w:rsid w:val="00986ABE"/>
    <w:rsid w:val="00987C51"/>
    <w:rsid w:val="00994313"/>
    <w:rsid w:val="009A048B"/>
    <w:rsid w:val="009A302B"/>
    <w:rsid w:val="009D2893"/>
    <w:rsid w:val="009E34D4"/>
    <w:rsid w:val="009F00E7"/>
    <w:rsid w:val="009F37FE"/>
    <w:rsid w:val="009F7F15"/>
    <w:rsid w:val="00A01E43"/>
    <w:rsid w:val="00A2054E"/>
    <w:rsid w:val="00A528EA"/>
    <w:rsid w:val="00A849FA"/>
    <w:rsid w:val="00A961B9"/>
    <w:rsid w:val="00AC11D5"/>
    <w:rsid w:val="00AC6E70"/>
    <w:rsid w:val="00AC7DE4"/>
    <w:rsid w:val="00AD28F7"/>
    <w:rsid w:val="00AD387E"/>
    <w:rsid w:val="00AD79C1"/>
    <w:rsid w:val="00AE097F"/>
    <w:rsid w:val="00AE5B21"/>
    <w:rsid w:val="00B1482E"/>
    <w:rsid w:val="00B22082"/>
    <w:rsid w:val="00B33681"/>
    <w:rsid w:val="00B338E0"/>
    <w:rsid w:val="00B452CD"/>
    <w:rsid w:val="00B46F34"/>
    <w:rsid w:val="00B80956"/>
    <w:rsid w:val="00B82408"/>
    <w:rsid w:val="00B91F0E"/>
    <w:rsid w:val="00B929B9"/>
    <w:rsid w:val="00BA1766"/>
    <w:rsid w:val="00BA66DE"/>
    <w:rsid w:val="00BC0E8B"/>
    <w:rsid w:val="00BC720B"/>
    <w:rsid w:val="00C01D1D"/>
    <w:rsid w:val="00C13021"/>
    <w:rsid w:val="00C34D3D"/>
    <w:rsid w:val="00C41876"/>
    <w:rsid w:val="00C47A95"/>
    <w:rsid w:val="00C562D2"/>
    <w:rsid w:val="00C648BE"/>
    <w:rsid w:val="00C67EA5"/>
    <w:rsid w:val="00C711E7"/>
    <w:rsid w:val="00C74100"/>
    <w:rsid w:val="00C75B1E"/>
    <w:rsid w:val="00CC0AED"/>
    <w:rsid w:val="00CD0F0F"/>
    <w:rsid w:val="00CD4D32"/>
    <w:rsid w:val="00D0277F"/>
    <w:rsid w:val="00D10F07"/>
    <w:rsid w:val="00D118DE"/>
    <w:rsid w:val="00D1794C"/>
    <w:rsid w:val="00D2446E"/>
    <w:rsid w:val="00D533B1"/>
    <w:rsid w:val="00D6100C"/>
    <w:rsid w:val="00D671D2"/>
    <w:rsid w:val="00D8331E"/>
    <w:rsid w:val="00D84468"/>
    <w:rsid w:val="00DC053D"/>
    <w:rsid w:val="00DD0AF8"/>
    <w:rsid w:val="00DD2526"/>
    <w:rsid w:val="00DF76E0"/>
    <w:rsid w:val="00E005C2"/>
    <w:rsid w:val="00E041F5"/>
    <w:rsid w:val="00E04FF6"/>
    <w:rsid w:val="00E05012"/>
    <w:rsid w:val="00E13B6E"/>
    <w:rsid w:val="00E243D2"/>
    <w:rsid w:val="00E25DE7"/>
    <w:rsid w:val="00E32F60"/>
    <w:rsid w:val="00E9567E"/>
    <w:rsid w:val="00EA1DFC"/>
    <w:rsid w:val="00ED60F6"/>
    <w:rsid w:val="00ED6B19"/>
    <w:rsid w:val="00F11E81"/>
    <w:rsid w:val="00F204AF"/>
    <w:rsid w:val="00F35DA8"/>
    <w:rsid w:val="00F36D67"/>
    <w:rsid w:val="00F4065A"/>
    <w:rsid w:val="00F41AF6"/>
    <w:rsid w:val="00F55580"/>
    <w:rsid w:val="00F63618"/>
    <w:rsid w:val="00F67218"/>
    <w:rsid w:val="00F762D0"/>
    <w:rsid w:val="00F9758F"/>
    <w:rsid w:val="00FA7911"/>
    <w:rsid w:val="00FC0166"/>
    <w:rsid w:val="00FC3088"/>
    <w:rsid w:val="00FD28D8"/>
    <w:rsid w:val="00FF0C06"/>
    <w:rsid w:val="00FF0F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336A"/>
  <w15:chartTrackingRefBased/>
  <w15:docId w15:val="{B72F4DA3-4CAC-4819-B16F-4FF1D87C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28EA"/>
    <w:pPr>
      <w:tabs>
        <w:tab w:val="center" w:pos="4703"/>
        <w:tab w:val="right" w:pos="9406"/>
      </w:tabs>
      <w:spacing w:after="0" w:line="240" w:lineRule="auto"/>
    </w:pPr>
  </w:style>
  <w:style w:type="character" w:customStyle="1" w:styleId="En-tteCar">
    <w:name w:val="En-tête Car"/>
    <w:basedOn w:val="Policepardfaut"/>
    <w:link w:val="En-tte"/>
    <w:uiPriority w:val="99"/>
    <w:rsid w:val="00A528EA"/>
  </w:style>
  <w:style w:type="paragraph" w:styleId="Pieddepage">
    <w:name w:val="footer"/>
    <w:basedOn w:val="Normal"/>
    <w:link w:val="PieddepageCar"/>
    <w:uiPriority w:val="99"/>
    <w:unhideWhenUsed/>
    <w:rsid w:val="00A528E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528EA"/>
  </w:style>
  <w:style w:type="table" w:styleId="Grilledutableau">
    <w:name w:val="Table Grid"/>
    <w:basedOn w:val="TableauNormal"/>
    <w:uiPriority w:val="39"/>
    <w:rsid w:val="00D02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012EA"/>
    <w:pPr>
      <w:ind w:left="720"/>
      <w:contextualSpacing/>
    </w:pPr>
  </w:style>
  <w:style w:type="paragraph" w:styleId="Notedebasdepage">
    <w:name w:val="footnote text"/>
    <w:basedOn w:val="Normal"/>
    <w:link w:val="NotedebasdepageCar"/>
    <w:uiPriority w:val="99"/>
    <w:semiHidden/>
    <w:unhideWhenUsed/>
    <w:rsid w:val="00473F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3FAD"/>
    <w:rPr>
      <w:sz w:val="20"/>
      <w:szCs w:val="20"/>
    </w:rPr>
  </w:style>
  <w:style w:type="character" w:styleId="Appelnotedebasdep">
    <w:name w:val="footnote reference"/>
    <w:basedOn w:val="Policepardfaut"/>
    <w:uiPriority w:val="99"/>
    <w:semiHidden/>
    <w:unhideWhenUsed/>
    <w:rsid w:val="00473FAD"/>
    <w:rPr>
      <w:vertAlign w:val="superscript"/>
    </w:rPr>
  </w:style>
  <w:style w:type="paragraph" w:styleId="Textedebulles">
    <w:name w:val="Balloon Text"/>
    <w:basedOn w:val="Normal"/>
    <w:link w:val="TextedebullesCar"/>
    <w:uiPriority w:val="99"/>
    <w:semiHidden/>
    <w:unhideWhenUsed/>
    <w:rsid w:val="00F204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0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907FF-D6C4-462E-97C3-7947EDB1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2841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utilisateur</cp:lastModifiedBy>
  <cp:revision>2</cp:revision>
  <cp:lastPrinted>2023-01-05T09:48:00Z</cp:lastPrinted>
  <dcterms:created xsi:type="dcterms:W3CDTF">2023-01-20T12:05:00Z</dcterms:created>
  <dcterms:modified xsi:type="dcterms:W3CDTF">2023-01-20T12:05:00Z</dcterms:modified>
</cp:coreProperties>
</file>