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22" w:rsidRDefault="009B3322"/>
    <w:p w:rsidR="00A92A4C" w:rsidRPr="00BA065B" w:rsidRDefault="00BA065B" w:rsidP="00BA065B">
      <w:pPr>
        <w:tabs>
          <w:tab w:val="left" w:pos="3918"/>
        </w:tabs>
        <w:jc w:val="center"/>
        <w:rPr>
          <w:b/>
          <w:bCs/>
          <w:sz w:val="26"/>
          <w:szCs w:val="26"/>
        </w:rPr>
      </w:pPr>
      <w:r w:rsidRPr="00BA065B">
        <w:rPr>
          <w:b/>
          <w:bCs/>
          <w:sz w:val="26"/>
          <w:szCs w:val="26"/>
          <w:u w:val="single"/>
        </w:rPr>
        <w:t>Module</w:t>
      </w:r>
      <w:r w:rsidRPr="00BA065B">
        <w:rPr>
          <w:b/>
          <w:bCs/>
          <w:sz w:val="26"/>
          <w:szCs w:val="26"/>
        </w:rPr>
        <w:t> : CPE//Troisième année//</w:t>
      </w:r>
      <w:r w:rsidRPr="00BA065B">
        <w:rPr>
          <w:b/>
          <w:bCs/>
          <w:sz w:val="26"/>
          <w:szCs w:val="26"/>
          <w:u w:val="single"/>
        </w:rPr>
        <w:t>Groupe</w:t>
      </w:r>
      <w:r w:rsidRPr="00BA065B">
        <w:rPr>
          <w:b/>
          <w:bCs/>
          <w:sz w:val="26"/>
          <w:szCs w:val="26"/>
        </w:rPr>
        <w:t> :</w:t>
      </w:r>
      <w:r>
        <w:rPr>
          <w:b/>
          <w:bCs/>
          <w:sz w:val="26"/>
          <w:szCs w:val="26"/>
        </w:rPr>
        <w:t xml:space="preserve"> </w:t>
      </w:r>
      <w:r w:rsidRPr="00BA065B">
        <w:rPr>
          <w:b/>
          <w:bCs/>
          <w:sz w:val="26"/>
          <w:szCs w:val="26"/>
        </w:rPr>
        <w:t>04</w:t>
      </w:r>
    </w:p>
    <w:p w:rsidR="00A92A4C" w:rsidRPr="00A92A4C" w:rsidRDefault="00A92A4C" w:rsidP="00A92A4C">
      <w:pPr>
        <w:suppressAutoHyphens w:val="0"/>
        <w:autoSpaceDE w:val="0"/>
        <w:spacing w:after="0" w:line="360" w:lineRule="auto"/>
        <w:jc w:val="center"/>
        <w:textAlignment w:val="auto"/>
        <w:rPr>
          <w:rFonts w:ascii="Times New Roman" w:hAnsi="Times New Roman" w:cs="Times New Roman"/>
          <w:b/>
          <w:bCs/>
          <w:sz w:val="36"/>
          <w:szCs w:val="36"/>
          <w:u w:val="single"/>
        </w:rPr>
      </w:pPr>
      <w:r w:rsidRPr="00A92A4C">
        <w:rPr>
          <w:rFonts w:ascii="Times New Roman" w:hAnsi="Times New Roman" w:cs="Times New Roman"/>
          <w:b/>
          <w:bCs/>
          <w:sz w:val="36"/>
          <w:szCs w:val="36"/>
          <w:u w:val="single"/>
        </w:rPr>
        <w:t>TD I</w:t>
      </w:r>
    </w:p>
    <w:p w:rsidR="00A92A4C" w:rsidRDefault="00A92A4C" w:rsidP="00A92A4C">
      <w:pPr>
        <w:suppressAutoHyphens w:val="0"/>
        <w:autoSpaceDE w:val="0"/>
        <w:spacing w:after="0" w:line="360" w:lineRule="auto"/>
        <w:jc w:val="both"/>
        <w:textAlignment w:val="auto"/>
      </w:pPr>
      <w:r>
        <w:rPr>
          <w:rFonts w:ascii="Times New Roman" w:hAnsi="Times New Roman" w:cs="Times New Roman"/>
        </w:rPr>
        <w:t xml:space="preserve">Avant d’effectuer les consignes de cette leçon, vous devriez avoir fait une </w:t>
      </w:r>
      <w:r>
        <w:rPr>
          <w:rFonts w:ascii="Times New Roman" w:hAnsi="Times New Roman" w:cs="Times New Roman"/>
          <w:b/>
          <w:bCs/>
        </w:rPr>
        <w:t xml:space="preserve">lecture exploratoire </w:t>
      </w:r>
      <w:r>
        <w:rPr>
          <w:rFonts w:ascii="Times New Roman" w:hAnsi="Times New Roman" w:cs="Times New Roman"/>
        </w:rPr>
        <w:t>du texte. Nous supposons ici que les trois survols vous ont amené à formuler</w:t>
      </w:r>
      <w:r>
        <w:rPr>
          <w:rFonts w:ascii="Times New Roman" w:hAnsi="Times New Roman" w:cs="Times New Roman"/>
          <w:b/>
          <w:bCs/>
        </w:rPr>
        <w:t xml:space="preserve"> l’hypothèse</w:t>
      </w:r>
      <w:r>
        <w:rPr>
          <w:rFonts w:ascii="Times New Roman" w:hAnsi="Times New Roman" w:cs="Times New Roman"/>
        </w:rPr>
        <w:t xml:space="preserve"> de sens global suivante:</w:t>
      </w:r>
    </w:p>
    <w:p w:rsidR="00A92A4C" w:rsidRDefault="00A92A4C" w:rsidP="00A92A4C">
      <w:pPr>
        <w:suppressAutoHyphens w:val="0"/>
        <w:autoSpaceDE w:val="0"/>
        <w:spacing w:after="0" w:line="360" w:lineRule="auto"/>
        <w:jc w:val="both"/>
        <w:textAlignment w:val="auto"/>
        <w:rPr>
          <w:rFonts w:ascii="Times New Roman" w:hAnsi="Times New Roman" w:cs="Times New Roman"/>
          <w:i/>
          <w:iCs/>
        </w:rPr>
      </w:pPr>
      <w:r>
        <w:rPr>
          <w:rFonts w:ascii="Times New Roman" w:hAnsi="Times New Roman" w:cs="Times New Roman"/>
          <w:i/>
          <w:iCs/>
        </w:rPr>
        <w:t>La journaliste veut nous informer de l’évolution des conceptions chez les sociologues, depuis la lecture-distinction jusqu’à la lecture-plaisir, évolution qui ouvre de nouvelles perspectives de recherche.</w:t>
      </w:r>
    </w:p>
    <w:p w:rsidR="00A92A4C" w:rsidRDefault="00A92A4C" w:rsidP="00A92A4C">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Ayez cette hypothèse en tête pour effectuer les consignes suivantes :</w:t>
      </w:r>
    </w:p>
    <w:p w:rsidR="00A92A4C" w:rsidRDefault="00A92A4C" w:rsidP="00A92A4C">
      <w:pPr>
        <w:suppressAutoHyphens w:val="0"/>
        <w:autoSpaceDE w:val="0"/>
        <w:spacing w:after="0" w:line="360" w:lineRule="auto"/>
        <w:jc w:val="both"/>
        <w:textAlignment w:val="auto"/>
        <w:rPr>
          <w:rFonts w:ascii="Times New Roman" w:hAnsi="Times New Roman" w:cs="Times New Roman"/>
          <w:b/>
          <w:bCs/>
        </w:rPr>
      </w:pPr>
      <w:r>
        <w:rPr>
          <w:rFonts w:ascii="Times New Roman" w:hAnsi="Times New Roman" w:cs="Times New Roman"/>
          <w:b/>
          <w:bCs/>
        </w:rPr>
        <w:t>1. Clarification des mots et des références</w:t>
      </w:r>
    </w:p>
    <w:p w:rsidR="00A92A4C" w:rsidRDefault="00A92A4C" w:rsidP="00A92A4C">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 xml:space="preserve">• Soulignez systématiquement, dans le </w:t>
      </w:r>
      <w:proofErr w:type="spellStart"/>
      <w:r>
        <w:rPr>
          <w:rFonts w:ascii="Times New Roman" w:hAnsi="Times New Roman" w:cs="Times New Roman"/>
        </w:rPr>
        <w:t>paratexte</w:t>
      </w:r>
      <w:proofErr w:type="spellEnd"/>
      <w:r>
        <w:rPr>
          <w:rFonts w:ascii="Times New Roman" w:hAnsi="Times New Roman" w:cs="Times New Roman"/>
        </w:rPr>
        <w:t xml:space="preserve"> et le texte, tous les mots et les références qui vous posent problème et résolvez ces difficultés avec les outils appropriés (dictionnaires, encyclopédie, etc.).</w:t>
      </w:r>
    </w:p>
    <w:p w:rsidR="00A92A4C" w:rsidRDefault="00A92A4C" w:rsidP="00A92A4C">
      <w:pPr>
        <w:suppressAutoHyphens w:val="0"/>
        <w:autoSpaceDE w:val="0"/>
        <w:spacing w:after="0" w:line="360" w:lineRule="auto"/>
        <w:jc w:val="both"/>
        <w:textAlignment w:val="auto"/>
      </w:pPr>
      <w:r>
        <w:rPr>
          <w:rFonts w:ascii="Times New Roman" w:hAnsi="Times New Roman" w:cs="Times New Roman"/>
        </w:rPr>
        <w:t xml:space="preserve">• Reportez les éléments relevés dans la </w:t>
      </w:r>
      <w:r>
        <w:rPr>
          <w:rFonts w:ascii="Times New Roman" w:hAnsi="Times New Roman" w:cs="Times New Roman"/>
          <w:b/>
          <w:bCs/>
        </w:rPr>
        <w:t xml:space="preserve">fiche de travail 1 </w:t>
      </w:r>
      <w:r>
        <w:rPr>
          <w:rFonts w:ascii="Times New Roman" w:hAnsi="Times New Roman" w:cs="Times New Roman"/>
        </w:rPr>
        <w:t>; comme vous le montre l’exemple, expliquez en quelques mots la signification de chaque élément en tenant compte du contexte et du sens global du texte. Dans la troisième colonne de la fiche, notez vos réactions, questions et interprétations personnelles.</w:t>
      </w:r>
    </w:p>
    <w:p w:rsidR="00A92A4C" w:rsidRDefault="00A92A4C" w:rsidP="00A92A4C">
      <w:pPr>
        <w:suppressAutoHyphens w:val="0"/>
        <w:autoSpaceDE w:val="0"/>
        <w:spacing w:after="0" w:line="360" w:lineRule="auto"/>
        <w:jc w:val="both"/>
        <w:textAlignment w:val="auto"/>
        <w:rPr>
          <w:rFonts w:ascii="Times New Roman" w:hAnsi="Times New Roman" w:cs="Times New Roman"/>
          <w:b/>
          <w:bCs/>
        </w:rPr>
      </w:pPr>
      <w:r>
        <w:rPr>
          <w:rFonts w:ascii="Times New Roman" w:hAnsi="Times New Roman" w:cs="Times New Roman"/>
          <w:b/>
          <w:bCs/>
        </w:rPr>
        <w:t>2. Clarification des informations implicites</w:t>
      </w:r>
    </w:p>
    <w:p w:rsidR="00A92A4C" w:rsidRDefault="00A92A4C" w:rsidP="00A92A4C">
      <w:pPr>
        <w:suppressAutoHyphens w:val="0"/>
        <w:autoSpaceDE w:val="0"/>
        <w:spacing w:after="0" w:line="360" w:lineRule="auto"/>
        <w:jc w:val="both"/>
        <w:textAlignment w:val="auto"/>
      </w:pPr>
      <w:r>
        <w:rPr>
          <w:rFonts w:ascii="Times New Roman" w:hAnsi="Times New Roman" w:cs="Times New Roman"/>
        </w:rPr>
        <w:t xml:space="preserve">La </w:t>
      </w:r>
      <w:r>
        <w:rPr>
          <w:rFonts w:ascii="Times New Roman" w:hAnsi="Times New Roman" w:cs="Times New Roman"/>
          <w:b/>
          <w:bCs/>
        </w:rPr>
        <w:t xml:space="preserve">fiche de travail 2 </w:t>
      </w:r>
      <w:r>
        <w:rPr>
          <w:rFonts w:ascii="Times New Roman" w:hAnsi="Times New Roman" w:cs="Times New Roman"/>
        </w:rPr>
        <w:t>présente, dans la première colonne, certains mots qui réfèrent à des informations implicites et, dans la dernière, une explication sur le sens qu’on peut en tirer.</w:t>
      </w:r>
    </w:p>
    <w:p w:rsidR="00A92A4C" w:rsidRDefault="00A92A4C" w:rsidP="00A92A4C">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 Cherchez dans le texte ou dans vos connaissances des indices qui vous aident à faire le lien entre les éléments donnés et l’explication proposée.</w:t>
      </w:r>
    </w:p>
    <w:p w:rsidR="00A92A4C" w:rsidRPr="00A92A4C" w:rsidRDefault="00A92A4C" w:rsidP="00A92A4C">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 Inscrivez ces indices dans la deuxième colonne de la fiche.</w:t>
      </w:r>
    </w:p>
    <w:p w:rsidR="00A92A4C" w:rsidRDefault="00A92A4C" w:rsidP="00A92A4C">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N’oubliez pas : puisque cette leçon est la première des trois étapes de la lecture analytique, conservez le résultat de votre fiche de travail et le corrigé pour répondre aux consignes des leçons suivantes.</w:t>
      </w:r>
    </w:p>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pPr>
    </w:p>
    <w:p w:rsidR="00A92A4C" w:rsidRDefault="00A92A4C" w:rsidP="00A92A4C">
      <w:pPr>
        <w:suppressAutoHyphens w:val="0"/>
        <w:autoSpaceDE w:val="0"/>
        <w:spacing w:after="0" w:line="360" w:lineRule="auto"/>
        <w:jc w:val="both"/>
        <w:textAlignment w:val="auto"/>
        <w:rPr>
          <w:rFonts w:ascii="Times New Roman" w:hAnsi="Times New Roman" w:cs="Times New Roman"/>
          <w:b/>
          <w:bCs/>
          <w:sz w:val="36"/>
          <w:szCs w:val="36"/>
        </w:rPr>
      </w:pPr>
    </w:p>
    <w:p w:rsidR="00A92A4C" w:rsidRDefault="00A92A4C" w:rsidP="00A92A4C">
      <w:pPr>
        <w:suppressAutoHyphens w:val="0"/>
        <w:autoSpaceDE w:val="0"/>
        <w:spacing w:after="0" w:line="360" w:lineRule="auto"/>
        <w:jc w:val="center"/>
        <w:textAlignment w:val="auto"/>
        <w:rPr>
          <w:rFonts w:ascii="Times New Roman" w:hAnsi="Times New Roman" w:cs="Times New Roman"/>
          <w:b/>
          <w:bCs/>
          <w:sz w:val="36"/>
          <w:szCs w:val="36"/>
        </w:rPr>
      </w:pPr>
      <w:r>
        <w:rPr>
          <w:rFonts w:ascii="Times New Roman" w:hAnsi="Times New Roman" w:cs="Times New Roman"/>
          <w:b/>
          <w:bCs/>
          <w:sz w:val="36"/>
          <w:szCs w:val="36"/>
        </w:rPr>
        <w:lastRenderedPageBreak/>
        <w:t>Texte</w:t>
      </w:r>
    </w:p>
    <w:p w:rsidR="00A92A4C" w:rsidRDefault="00A92A4C" w:rsidP="00A92A4C">
      <w:pPr>
        <w:suppressAutoHyphens w:val="0"/>
        <w:autoSpaceDE w:val="0"/>
        <w:spacing w:after="0" w:line="360" w:lineRule="auto"/>
        <w:jc w:val="both"/>
        <w:textAlignment w:val="auto"/>
      </w:pPr>
      <w:r>
        <w:rPr>
          <w:rFonts w:ascii="Times New Roman" w:hAnsi="Times New Roman" w:cs="Times New Roman"/>
          <w:i/>
          <w:iCs/>
        </w:rPr>
        <w:t xml:space="preserve">Dans le cadre d’un dossier sur la lecture, Martine Fournier rencontre l’historien Maurice </w:t>
      </w:r>
      <w:proofErr w:type="spellStart"/>
      <w:r>
        <w:rPr>
          <w:rFonts w:ascii="Times New Roman" w:hAnsi="Times New Roman" w:cs="Times New Roman"/>
          <w:i/>
          <w:iCs/>
        </w:rPr>
        <w:t>Aghulon</w:t>
      </w:r>
      <w:proofErr w:type="spellEnd"/>
      <w:r>
        <w:rPr>
          <w:rFonts w:ascii="Times New Roman" w:hAnsi="Times New Roman" w:cs="Times New Roman"/>
          <w:i/>
          <w:iCs/>
        </w:rPr>
        <w:t>, auteur de l’</w:t>
      </w:r>
      <w:r>
        <w:rPr>
          <w:rFonts w:ascii="Times New Roman" w:hAnsi="Times New Roman" w:cs="Times New Roman"/>
        </w:rPr>
        <w:t>Histoire des idées républicaines.</w:t>
      </w:r>
      <w:r>
        <w:rPr>
          <w:rFonts w:ascii="Times New Roman" w:hAnsi="Times New Roman" w:cs="Times New Roman"/>
          <w:i/>
          <w:iCs/>
        </w:rPr>
        <w:t xml:space="preserve">  Dans son œuvre, l’historien retrace comment la République française s’est progressivement consolidée et comment elle s’est installée dans les mentalités, notamment en rapport avec la démocratisation de la lecture.</w:t>
      </w:r>
    </w:p>
    <w:p w:rsidR="00A92A4C" w:rsidRDefault="00A92A4C" w:rsidP="00A92A4C">
      <w:pPr>
        <w:suppressAutoHyphens w:val="0"/>
        <w:autoSpaceDE w:val="0"/>
        <w:spacing w:after="0" w:line="360" w:lineRule="auto"/>
        <w:jc w:val="both"/>
        <w:textAlignment w:val="auto"/>
      </w:pPr>
      <w:r>
        <w:rPr>
          <w:rFonts w:ascii="Times New Roman" w:hAnsi="Times New Roman" w:cs="Times New Roman"/>
          <w:sz w:val="28"/>
          <w:szCs w:val="28"/>
        </w:rPr>
        <w:t xml:space="preserve">                                    </w:t>
      </w:r>
      <w:r>
        <w:rPr>
          <w:rFonts w:ascii="Times New Roman" w:hAnsi="Times New Roman" w:cs="Times New Roman"/>
          <w:b/>
          <w:bCs/>
          <w:sz w:val="28"/>
          <w:szCs w:val="28"/>
        </w:rPr>
        <w:t>De la distinction au plaisir</w:t>
      </w:r>
    </w:p>
    <w:p w:rsidR="00A92A4C" w:rsidRDefault="00A92A4C" w:rsidP="00A92A4C">
      <w:pPr>
        <w:suppressAutoHyphens w:val="0"/>
        <w:autoSpaceDE w:val="0"/>
        <w:spacing w:after="0" w:line="360" w:lineRule="auto"/>
        <w:jc w:val="both"/>
        <w:textAlignment w:val="auto"/>
      </w:pPr>
      <w:r>
        <w:rPr>
          <w:rFonts w:ascii="Times New Roman" w:hAnsi="Times New Roman" w:cs="Times New Roman"/>
        </w:rPr>
        <w:t xml:space="preserve">La lecture a longtemps été considérée comme une habileté innée. Comme historien, j’ai observé qu’elle n’a pas échappé à l’investigation des sociologues modernes. Dès 1979, Pierre Bourdieu s’attaque au consensus établissant l’« universalité » de la littérature comme symbole d’une lecture de qualité. Dans </w:t>
      </w:r>
      <w:r>
        <w:rPr>
          <w:rFonts w:ascii="Times New Roman" w:hAnsi="Times New Roman" w:cs="Times New Roman"/>
          <w:i/>
          <w:iCs/>
        </w:rPr>
        <w:t>La Distinction</w:t>
      </w:r>
      <w:r>
        <w:rPr>
          <w:rFonts w:ascii="Times New Roman" w:hAnsi="Times New Roman" w:cs="Times New Roman"/>
        </w:rPr>
        <w:t>, il décrit comment une certaine élite, soucieuse de se démarquer du public, s’octroierait le pouvoir de consacrer les œuvres canoniques. Le champ de la bonne littérature, et par voie de conséquence de la bonne lecture, serait donc délimité par certaines instances sociales : critiques, académies, prix littéraires.</w:t>
      </w:r>
    </w:p>
    <w:p w:rsidR="00A92A4C" w:rsidRDefault="00A92A4C" w:rsidP="00A92A4C">
      <w:pPr>
        <w:suppressAutoHyphens w:val="0"/>
        <w:autoSpaceDE w:val="0"/>
        <w:spacing w:after="0" w:line="360" w:lineRule="auto"/>
        <w:jc w:val="both"/>
        <w:textAlignment w:val="auto"/>
      </w:pPr>
      <w:r>
        <w:rPr>
          <w:rFonts w:ascii="Times New Roman" w:hAnsi="Times New Roman" w:cs="Times New Roman"/>
        </w:rPr>
        <w:t xml:space="preserve">Poursuivant sa réflexion en 1987 dans </w:t>
      </w:r>
      <w:r>
        <w:rPr>
          <w:rFonts w:ascii="Times New Roman" w:hAnsi="Times New Roman" w:cs="Times New Roman"/>
          <w:i/>
          <w:iCs/>
        </w:rPr>
        <w:t>Choses dites</w:t>
      </w:r>
      <w:r>
        <w:rPr>
          <w:rFonts w:ascii="Times New Roman" w:hAnsi="Times New Roman" w:cs="Times New Roman"/>
        </w:rPr>
        <w:t>, le sociologue pose que ce champ social, comme tous les autres, comporte « ses dominants et ses dominés, ses conservateurs et son avant garde, ses luttes subversives et ses mécanismes de reproduction ». Dans cette perspective, P. Bourdieu décrit les mécanismes sociaux qui légitiment une culture : les goûts des lecteurs résulteraient des conditions sociales dans lesquelles ils auraient évolué, le capital culturel de la famille notamment.</w:t>
      </w:r>
    </w:p>
    <w:p w:rsidR="00A92A4C" w:rsidRDefault="00A92A4C" w:rsidP="00A92A4C">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Par ailleurs, selon sa théorie, les pratiques culturelles perdraient leur valeur de « distinction » en se diffusant dans toutes les couches sociales. Ainsi, la démocratisation de l’enseignement, la diversification des écrits et leur accès toujours plus ouvert à un large public contribuent à la désacralisation des œuvres qualifiées autrefois de « classiques ». La bande dessinée, le roman policier ont aujourd’hui leurs lettres de noblesse : on en fait des objets de recherches doctorales dans les universités.</w:t>
      </w:r>
    </w:p>
    <w:p w:rsidR="00A92A4C" w:rsidRDefault="00A92A4C" w:rsidP="00A92A4C">
      <w:pPr>
        <w:suppressAutoHyphens w:val="0"/>
        <w:autoSpaceDE w:val="0"/>
        <w:spacing w:after="0" w:line="360" w:lineRule="auto"/>
        <w:jc w:val="both"/>
        <w:textAlignment w:val="auto"/>
      </w:pPr>
      <w:r>
        <w:rPr>
          <w:rFonts w:ascii="Times New Roman" w:hAnsi="Times New Roman" w:cs="Times New Roman"/>
        </w:rPr>
        <w:t xml:space="preserve">En 1993, le sociologue François de </w:t>
      </w:r>
      <w:proofErr w:type="spellStart"/>
      <w:r>
        <w:rPr>
          <w:rFonts w:ascii="Times New Roman" w:hAnsi="Times New Roman" w:cs="Times New Roman"/>
        </w:rPr>
        <w:t>Singly</w:t>
      </w:r>
      <w:proofErr w:type="spellEnd"/>
      <w:r>
        <w:rPr>
          <w:rFonts w:ascii="Times New Roman" w:hAnsi="Times New Roman" w:cs="Times New Roman"/>
        </w:rPr>
        <w:t xml:space="preserve">, dans </w:t>
      </w:r>
      <w:r>
        <w:rPr>
          <w:rFonts w:ascii="Times New Roman" w:hAnsi="Times New Roman" w:cs="Times New Roman"/>
          <w:i/>
          <w:iCs/>
        </w:rPr>
        <w:t>Lire en France aujourd’hui</w:t>
      </w:r>
      <w:r>
        <w:rPr>
          <w:rFonts w:ascii="Times New Roman" w:hAnsi="Times New Roman" w:cs="Times New Roman"/>
        </w:rPr>
        <w:t>, soutient que les études sur la lecture, trop souvent dépendantes de la théorie de « la distinction », ont négligé des dimensions telles le plaisir, le rêve, l’identification. Il propose une nouvelle perspective : « admettre qu’un livre puisse servir à se distinguer », mais aussi à « apprendre, pleurer, se connaître par un long détour, s’ennuyer... ».</w:t>
      </w:r>
    </w:p>
    <w:p w:rsidR="00A92A4C" w:rsidRDefault="00A92A4C" w:rsidP="00A92A4C">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À l’heure actuelle, avec Internet notamment, l’ouverture de la lecture à des genres, des supports et des publics de plus en plus diversifiés crée un vaste champ d’étude aux chercheurs en sciences humaines. Son exploration nous permettra-t-elle de mieux comprendre comment et pourquoi les lecteurs, quels qu’ils soient, s’approprient les œuvres ?</w:t>
      </w:r>
    </w:p>
    <w:p w:rsidR="00A92A4C" w:rsidRDefault="00A92A4C" w:rsidP="00A92A4C">
      <w:pPr>
        <w:suppressAutoHyphens w:val="0"/>
        <w:autoSpaceDE w:val="0"/>
        <w:spacing w:after="0" w:line="360" w:lineRule="auto"/>
        <w:jc w:val="both"/>
        <w:textAlignment w:val="auto"/>
      </w:pPr>
      <w:r>
        <w:rPr>
          <w:rFonts w:ascii="Times New Roman" w:hAnsi="Times New Roman" w:cs="Times New Roman"/>
        </w:rPr>
        <w:t xml:space="preserve">Texte adapté d’un article de la journaliste Martine Fournier, dans </w:t>
      </w:r>
      <w:r>
        <w:rPr>
          <w:rFonts w:ascii="Times New Roman" w:hAnsi="Times New Roman" w:cs="Times New Roman"/>
          <w:i/>
          <w:iCs/>
        </w:rPr>
        <w:t>Sciences humaines</w:t>
      </w:r>
      <w:r>
        <w:rPr>
          <w:rFonts w:ascii="Times New Roman" w:hAnsi="Times New Roman" w:cs="Times New Roman"/>
        </w:rPr>
        <w:t>, n</w:t>
      </w:r>
      <w:r>
        <w:rPr>
          <w:rFonts w:ascii="Times New Roman" w:hAnsi="Times New Roman" w:cs="Times New Roman"/>
          <w:sz w:val="13"/>
          <w:szCs w:val="13"/>
        </w:rPr>
        <w:t xml:space="preserve">o </w:t>
      </w:r>
      <w:r>
        <w:rPr>
          <w:rFonts w:ascii="Times New Roman" w:hAnsi="Times New Roman" w:cs="Times New Roman"/>
        </w:rPr>
        <w:t>82, avril</w:t>
      </w:r>
    </w:p>
    <w:p w:rsidR="00A92A4C" w:rsidRDefault="00A92A4C" w:rsidP="00A92A4C">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1998, France.</w:t>
      </w:r>
    </w:p>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textAlignment w:val="auto"/>
        <w:rPr>
          <w:rFonts w:ascii="Times New Roman" w:hAnsi="Times New Roman" w:cs="Times New Roman"/>
          <w:b/>
          <w:bCs/>
        </w:rPr>
      </w:pPr>
      <w:r>
        <w:rPr>
          <w:rFonts w:ascii="Times New Roman" w:hAnsi="Times New Roman" w:cs="Times New Roman"/>
          <w:b/>
          <w:bCs/>
        </w:rPr>
        <w:t>Fiche de travail 1 : Clarifier des mots et des références</w:t>
      </w:r>
    </w:p>
    <w:p w:rsidR="00A92A4C" w:rsidRDefault="00A92A4C" w:rsidP="00A92A4C">
      <w:pPr>
        <w:suppressAutoHyphens w:val="0"/>
        <w:autoSpaceDE w:val="0"/>
        <w:spacing w:after="0" w:line="360" w:lineRule="auto"/>
        <w:textAlignment w:val="auto"/>
        <w:rPr>
          <w:rFonts w:ascii="Times New Roman" w:hAnsi="Times New Roman" w:cs="Times New Roman"/>
        </w:rPr>
      </w:pPr>
      <w:r>
        <w:rPr>
          <w:rFonts w:ascii="Times New Roman" w:hAnsi="Times New Roman" w:cs="Times New Roman"/>
        </w:rPr>
        <w:t>Remarque : Le relevé des éléments est individuel ; il dépend des connaissances de chaque lecteur. Si vous manquez d’espace sur la fiche, imprimez-en une deuxième.</w:t>
      </w:r>
    </w:p>
    <w:tbl>
      <w:tblPr>
        <w:tblW w:w="9062" w:type="dxa"/>
        <w:tblCellMar>
          <w:left w:w="10" w:type="dxa"/>
          <w:right w:w="10" w:type="dxa"/>
        </w:tblCellMar>
        <w:tblLook w:val="04A0"/>
      </w:tblPr>
      <w:tblGrid>
        <w:gridCol w:w="3020"/>
        <w:gridCol w:w="3021"/>
        <w:gridCol w:w="3021"/>
      </w:tblGrid>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pPr>
            <w:r>
              <w:rPr>
                <w:rFonts w:ascii="Times New Roman" w:hAnsi="Times New Roman" w:cs="Times New Roman"/>
                <w:sz w:val="21"/>
                <w:szCs w:val="21"/>
              </w:rPr>
              <w:t>Éléments à clarifier</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240" w:lineRule="auto"/>
              <w:textAlignment w:val="auto"/>
              <w:rPr>
                <w:rFonts w:ascii="Times New Roman" w:hAnsi="Times New Roman" w:cs="Times New Roman"/>
                <w:sz w:val="21"/>
                <w:szCs w:val="21"/>
              </w:rPr>
            </w:pPr>
            <w:r>
              <w:rPr>
                <w:rFonts w:ascii="Times New Roman" w:hAnsi="Times New Roman" w:cs="Times New Roman"/>
                <w:sz w:val="21"/>
                <w:szCs w:val="21"/>
              </w:rPr>
              <w:t>Explication dans le contexte du sens globale</w:t>
            </w:r>
          </w:p>
          <w:p w:rsidR="00A92A4C" w:rsidRDefault="00A92A4C" w:rsidP="005673C7">
            <w:pPr>
              <w:suppressAutoHyphens w:val="0"/>
              <w:autoSpaceDE w:val="0"/>
              <w:spacing w:after="0" w:line="360" w:lineRule="auto"/>
              <w:jc w:val="both"/>
              <w:textAlignment w:val="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 xml:space="preserve">Réactions, questions et interprétations personnelles </w:t>
            </w:r>
          </w:p>
        </w:tc>
      </w:tr>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 xml:space="preserve">Mot : démocratisation de la lecture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 xml:space="preserve">Rendre (la lecture) accessible à tous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 xml:space="preserve">Voilà un mot abstrait qui annonce un texte soutenu, sérieux, scientifique peut être ?  </w:t>
            </w:r>
          </w:p>
        </w:tc>
      </w:tr>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Mot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p w:rsidR="00A92A4C" w:rsidRDefault="00A92A4C" w:rsidP="005673C7">
            <w:pPr>
              <w:suppressAutoHyphens w:val="0"/>
              <w:autoSpaceDE w:val="0"/>
              <w:spacing w:after="0" w:line="360" w:lineRule="auto"/>
              <w:jc w:val="both"/>
              <w:textAlignment w:val="auto"/>
              <w:rPr>
                <w:rFonts w:ascii="Times New Roman" w:hAnsi="Times New Roman" w:cs="Times New Roman"/>
              </w:rPr>
            </w:pPr>
          </w:p>
          <w:p w:rsidR="00A92A4C" w:rsidRDefault="00A92A4C" w:rsidP="005673C7">
            <w:pPr>
              <w:suppressAutoHyphens w:val="0"/>
              <w:autoSpaceDE w:val="0"/>
              <w:spacing w:after="0" w:line="360" w:lineRule="auto"/>
              <w:jc w:val="both"/>
              <w:textAlignment w:val="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tc>
      </w:tr>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Mot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p w:rsidR="00A92A4C" w:rsidRDefault="00A92A4C" w:rsidP="005673C7">
            <w:pPr>
              <w:suppressAutoHyphens w:val="0"/>
              <w:autoSpaceDE w:val="0"/>
              <w:spacing w:after="0" w:line="360" w:lineRule="auto"/>
              <w:jc w:val="both"/>
              <w:textAlignment w:val="auto"/>
              <w:rPr>
                <w:rFonts w:ascii="Times New Roman" w:hAnsi="Times New Roman" w:cs="Times New Roman"/>
              </w:rPr>
            </w:pPr>
          </w:p>
          <w:p w:rsidR="00A92A4C" w:rsidRDefault="00A92A4C" w:rsidP="005673C7">
            <w:pPr>
              <w:suppressAutoHyphens w:val="0"/>
              <w:autoSpaceDE w:val="0"/>
              <w:spacing w:after="0" w:line="360" w:lineRule="auto"/>
              <w:jc w:val="both"/>
              <w:textAlignment w:val="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tc>
      </w:tr>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Mot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p w:rsidR="00A92A4C" w:rsidRDefault="00A92A4C" w:rsidP="005673C7">
            <w:pPr>
              <w:suppressAutoHyphens w:val="0"/>
              <w:autoSpaceDE w:val="0"/>
              <w:spacing w:after="0" w:line="360" w:lineRule="auto"/>
              <w:jc w:val="both"/>
              <w:textAlignment w:val="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tc>
      </w:tr>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Mot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p w:rsidR="00A92A4C" w:rsidRDefault="00A92A4C" w:rsidP="005673C7">
            <w:pPr>
              <w:suppressAutoHyphens w:val="0"/>
              <w:autoSpaceDE w:val="0"/>
              <w:spacing w:after="0" w:line="360" w:lineRule="auto"/>
              <w:jc w:val="both"/>
              <w:textAlignment w:val="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tc>
      </w:tr>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Mot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p w:rsidR="00A92A4C" w:rsidRDefault="00A92A4C" w:rsidP="005673C7">
            <w:pPr>
              <w:suppressAutoHyphens w:val="0"/>
              <w:autoSpaceDE w:val="0"/>
              <w:spacing w:after="0" w:line="360" w:lineRule="auto"/>
              <w:jc w:val="both"/>
              <w:textAlignment w:val="auto"/>
              <w:rPr>
                <w:rFonts w:ascii="Times New Roman" w:hAnsi="Times New Roman" w:cs="Times New Roman"/>
              </w:rPr>
            </w:pPr>
          </w:p>
          <w:p w:rsidR="00A92A4C" w:rsidRDefault="00A92A4C" w:rsidP="005673C7">
            <w:pPr>
              <w:suppressAutoHyphens w:val="0"/>
              <w:autoSpaceDE w:val="0"/>
              <w:spacing w:after="0" w:line="360" w:lineRule="auto"/>
              <w:jc w:val="both"/>
              <w:textAlignment w:val="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tc>
      </w:tr>
    </w:tbl>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rPr>
          <w:rFonts w:ascii="Times New Roman" w:hAnsi="Times New Roman" w:cs="Times New Roman"/>
        </w:rPr>
      </w:pPr>
    </w:p>
    <w:tbl>
      <w:tblPr>
        <w:tblW w:w="9062" w:type="dxa"/>
        <w:tblCellMar>
          <w:left w:w="10" w:type="dxa"/>
          <w:right w:w="10" w:type="dxa"/>
        </w:tblCellMar>
        <w:tblLook w:val="04A0"/>
      </w:tblPr>
      <w:tblGrid>
        <w:gridCol w:w="3020"/>
        <w:gridCol w:w="3021"/>
        <w:gridCol w:w="3021"/>
      </w:tblGrid>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sz w:val="21"/>
                <w:szCs w:val="21"/>
              </w:rPr>
            </w:pPr>
            <w:r>
              <w:rPr>
                <w:rFonts w:ascii="Times New Roman" w:hAnsi="Times New Roman" w:cs="Times New Roman"/>
                <w:sz w:val="21"/>
                <w:szCs w:val="21"/>
              </w:rPr>
              <w:t>Référence :</w:t>
            </w:r>
          </w:p>
          <w:p w:rsidR="00A92A4C" w:rsidRDefault="00A92A4C" w:rsidP="005673C7">
            <w:pPr>
              <w:suppressAutoHyphens w:val="0"/>
              <w:autoSpaceDE w:val="0"/>
              <w:spacing w:after="0" w:line="360" w:lineRule="auto"/>
              <w:jc w:val="both"/>
              <w:textAlignment w:val="auto"/>
            </w:pPr>
            <w:r>
              <w:rPr>
                <w:rFonts w:ascii="Clearface-RegularItalic" w:hAnsi="Clearface-RegularItalic" w:cs="Clearface-RegularItalic"/>
                <w:i/>
                <w:iCs/>
                <w:sz w:val="21"/>
                <w:szCs w:val="21"/>
              </w:rPr>
              <w:t xml:space="preserve">Maurice </w:t>
            </w:r>
            <w:proofErr w:type="spellStart"/>
            <w:r>
              <w:rPr>
                <w:rFonts w:ascii="Clearface-RegularItalic" w:hAnsi="Clearface-RegularItalic" w:cs="Clearface-RegularItalic"/>
                <w:i/>
                <w:iCs/>
                <w:sz w:val="21"/>
                <w:szCs w:val="21"/>
              </w:rPr>
              <w:t>Aghulon</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Clearface-Regular" w:hAnsi="Clearface-Regular" w:cs="Clearface-Regular"/>
                <w:sz w:val="21"/>
                <w:szCs w:val="21"/>
              </w:rPr>
            </w:pPr>
            <w:r>
              <w:rPr>
                <w:rFonts w:ascii="Clearface-Regular" w:hAnsi="Clearface-Regular" w:cs="Clearface-Regular"/>
                <w:sz w:val="21"/>
                <w:szCs w:val="21"/>
              </w:rPr>
              <w:t>Historien contemporain</w:t>
            </w:r>
          </w:p>
          <w:p w:rsidR="00A92A4C" w:rsidRDefault="00A92A4C" w:rsidP="005673C7">
            <w:pPr>
              <w:suppressAutoHyphens w:val="0"/>
              <w:autoSpaceDE w:val="0"/>
              <w:spacing w:after="0" w:line="360" w:lineRule="auto"/>
              <w:jc w:val="both"/>
              <w:textAlignment w:val="auto"/>
              <w:rPr>
                <w:rFonts w:ascii="Clearface-Regular" w:hAnsi="Clearface-Regular" w:cs="Clearface-Regular"/>
                <w:sz w:val="21"/>
                <w:szCs w:val="21"/>
              </w:rPr>
            </w:pPr>
            <w:r>
              <w:rPr>
                <w:rFonts w:ascii="Clearface-Regular" w:hAnsi="Clearface-Regular" w:cs="Clearface-Regular"/>
                <w:sz w:val="21"/>
                <w:szCs w:val="21"/>
              </w:rPr>
              <w:t>Inconnu du public non spécialisé</w:t>
            </w:r>
          </w:p>
          <w:p w:rsidR="00A92A4C" w:rsidRDefault="00A92A4C" w:rsidP="005673C7">
            <w:pPr>
              <w:suppressAutoHyphens w:val="0"/>
              <w:autoSpaceDE w:val="0"/>
              <w:spacing w:after="0" w:line="360" w:lineRule="auto"/>
              <w:jc w:val="both"/>
              <w:textAlignment w:val="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pPr>
            <w:r>
              <w:rPr>
                <w:rFonts w:ascii="Clearface-Regular" w:hAnsi="Clearface-Regular" w:cs="Clearface-Regular"/>
                <w:sz w:val="21"/>
                <w:szCs w:val="21"/>
              </w:rPr>
              <w:t>Cette référence confirme le caractère   scientifique de la revue.</w:t>
            </w:r>
          </w:p>
        </w:tc>
      </w:tr>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 xml:space="preserve">Référence :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p w:rsidR="00A92A4C" w:rsidRDefault="00A92A4C" w:rsidP="005673C7">
            <w:pPr>
              <w:suppressAutoHyphens w:val="0"/>
              <w:autoSpaceDE w:val="0"/>
              <w:spacing w:after="0" w:line="360" w:lineRule="auto"/>
              <w:jc w:val="both"/>
              <w:textAlignment w:val="auto"/>
              <w:rPr>
                <w:rFonts w:ascii="Times New Roman" w:hAnsi="Times New Roman" w:cs="Times New Roman"/>
              </w:rPr>
            </w:pPr>
          </w:p>
          <w:p w:rsidR="00A92A4C" w:rsidRDefault="00A92A4C" w:rsidP="005673C7">
            <w:pPr>
              <w:suppressAutoHyphens w:val="0"/>
              <w:autoSpaceDE w:val="0"/>
              <w:spacing w:after="0" w:line="360" w:lineRule="auto"/>
              <w:jc w:val="both"/>
              <w:textAlignment w:val="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tc>
      </w:tr>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r>
              <w:rPr>
                <w:rFonts w:ascii="Times New Roman" w:hAnsi="Times New Roman" w:cs="Times New Roman"/>
              </w:rPr>
              <w:t>Référence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p w:rsidR="00A92A4C" w:rsidRDefault="00A92A4C" w:rsidP="005673C7">
            <w:pPr>
              <w:suppressAutoHyphens w:val="0"/>
              <w:autoSpaceDE w:val="0"/>
              <w:spacing w:after="0" w:line="360" w:lineRule="auto"/>
              <w:jc w:val="both"/>
              <w:textAlignment w:val="auto"/>
              <w:rPr>
                <w:rFonts w:ascii="Times New Roman" w:hAnsi="Times New Roman" w:cs="Times New Roman"/>
              </w:rPr>
            </w:pPr>
          </w:p>
          <w:p w:rsidR="00A92A4C" w:rsidRDefault="00A92A4C" w:rsidP="005673C7">
            <w:pPr>
              <w:suppressAutoHyphens w:val="0"/>
              <w:autoSpaceDE w:val="0"/>
              <w:spacing w:after="0" w:line="360" w:lineRule="auto"/>
              <w:jc w:val="both"/>
              <w:textAlignment w:val="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tc>
      </w:tr>
    </w:tbl>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pPr>
      <w:r>
        <w:rPr>
          <w:rFonts w:ascii="Times New Roman" w:hAnsi="Times New Roman" w:cs="Times New Roman"/>
          <w:b/>
          <w:bCs/>
        </w:rPr>
        <w:t>Fiche de travail 2 : Clarifier des données implicites</w:t>
      </w:r>
    </w:p>
    <w:tbl>
      <w:tblPr>
        <w:tblW w:w="9062" w:type="dxa"/>
        <w:tblCellMar>
          <w:left w:w="10" w:type="dxa"/>
          <w:right w:w="10" w:type="dxa"/>
        </w:tblCellMar>
        <w:tblLook w:val="04A0"/>
      </w:tblPr>
      <w:tblGrid>
        <w:gridCol w:w="3020"/>
        <w:gridCol w:w="3021"/>
        <w:gridCol w:w="3021"/>
      </w:tblGrid>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pPr>
            <w:r>
              <w:rPr>
                <w:rFonts w:ascii="Times New Roman" w:hAnsi="Times New Roman" w:cs="Times New Roman"/>
                <w:b/>
                <w:bCs/>
              </w:rPr>
              <w:t>Données implicites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240" w:lineRule="auto"/>
              <w:textAlignment w:val="auto"/>
              <w:rPr>
                <w:rFonts w:ascii="Times New Roman" w:hAnsi="Times New Roman" w:cs="Times New Roman"/>
                <w:b/>
                <w:bCs/>
              </w:rPr>
            </w:pPr>
            <w:r>
              <w:rPr>
                <w:rFonts w:ascii="Times New Roman" w:hAnsi="Times New Roman" w:cs="Times New Roman"/>
                <w:b/>
                <w:bCs/>
              </w:rPr>
              <w:t>Indices repérés dans le texte ou connaissances personnelles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240" w:lineRule="auto"/>
              <w:textAlignment w:val="auto"/>
              <w:rPr>
                <w:rFonts w:ascii="Times New Roman" w:hAnsi="Times New Roman" w:cs="Times New Roman"/>
                <w:b/>
                <w:bCs/>
              </w:rPr>
            </w:pPr>
            <w:r>
              <w:rPr>
                <w:rFonts w:ascii="Times New Roman" w:hAnsi="Times New Roman" w:cs="Times New Roman"/>
                <w:b/>
                <w:bCs/>
              </w:rPr>
              <w:t>Explications des données implicites</w:t>
            </w:r>
          </w:p>
        </w:tc>
      </w:tr>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240" w:lineRule="auto"/>
              <w:textAlignment w:val="auto"/>
              <w:rPr>
                <w:rFonts w:ascii="Clearface-Regular" w:hAnsi="Clearface-Regular" w:cs="Clearface-Regular"/>
                <w:sz w:val="21"/>
                <w:szCs w:val="21"/>
              </w:rPr>
            </w:pPr>
            <w:r>
              <w:rPr>
                <w:rFonts w:ascii="Clearface-Regular" w:hAnsi="Clearface-Regular" w:cs="Clearface-Regular"/>
                <w:sz w:val="21"/>
                <w:szCs w:val="21"/>
              </w:rPr>
              <w:t>La « distinction »</w:t>
            </w:r>
          </w:p>
          <w:p w:rsidR="00A92A4C" w:rsidRDefault="00A92A4C" w:rsidP="005673C7">
            <w:pPr>
              <w:suppressAutoHyphens w:val="0"/>
              <w:autoSpaceDE w:val="0"/>
              <w:spacing w:after="0" w:line="360" w:lineRule="auto"/>
              <w:jc w:val="both"/>
              <w:textAlignment w:val="auto"/>
            </w:pPr>
            <w:r>
              <w:rPr>
                <w:rFonts w:ascii="Clearface-Regular" w:hAnsi="Clearface-Regular" w:cs="Clearface-Regular"/>
                <w:sz w:val="21"/>
                <w:szCs w:val="21"/>
              </w:rPr>
              <w:t>(Paragraphe 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240" w:lineRule="auto"/>
              <w:textAlignment w:val="auto"/>
            </w:pPr>
            <w:r>
              <w:rPr>
                <w:rFonts w:ascii="Clearface-Regular" w:hAnsi="Clearface-Regular" w:cs="Clearface-Regular"/>
                <w:sz w:val="21"/>
                <w:szCs w:val="21"/>
              </w:rPr>
              <w:t xml:space="preserve">Le texte parle d’une « habileté </w:t>
            </w:r>
            <w:r>
              <w:rPr>
                <w:rFonts w:ascii="Clearface-RegularItalic" w:hAnsi="Clearface-RegularItalic" w:cs="Clearface-RegularItalic"/>
                <w:i/>
                <w:iCs/>
                <w:sz w:val="21"/>
                <w:szCs w:val="21"/>
              </w:rPr>
              <w:t xml:space="preserve">innée </w:t>
            </w:r>
            <w:r>
              <w:rPr>
                <w:rFonts w:ascii="Clearface-Regular" w:hAnsi="Clearface-Regular" w:cs="Clearface-Regular"/>
                <w:sz w:val="21"/>
                <w:szCs w:val="21"/>
              </w:rPr>
              <w:t xml:space="preserve">», de la « littérature comme symbole d’une </w:t>
            </w:r>
            <w:r>
              <w:rPr>
                <w:rFonts w:ascii="Clearface-RegularItalic" w:hAnsi="Clearface-RegularItalic" w:cs="Clearface-RegularItalic"/>
                <w:i/>
                <w:iCs/>
                <w:sz w:val="21"/>
                <w:szCs w:val="21"/>
              </w:rPr>
              <w:t>lecture</w:t>
            </w:r>
            <w:r>
              <w:rPr>
                <w:rFonts w:ascii="Clearface-Regular" w:hAnsi="Clearface-Regular" w:cs="Clearface-Regular"/>
                <w:sz w:val="21"/>
                <w:szCs w:val="21"/>
              </w:rPr>
              <w:t xml:space="preserve"> </w:t>
            </w:r>
            <w:r>
              <w:rPr>
                <w:rFonts w:ascii="Clearface-RegularItalic" w:hAnsi="Clearface-RegularItalic" w:cs="Clearface-RegularItalic"/>
                <w:i/>
                <w:iCs/>
                <w:sz w:val="21"/>
                <w:szCs w:val="21"/>
              </w:rPr>
              <w:t xml:space="preserve">de qualité </w:t>
            </w:r>
            <w:r>
              <w:rPr>
                <w:rFonts w:ascii="Clearface-Regular" w:hAnsi="Clearface-Regular" w:cs="Clearface-Regular"/>
                <w:sz w:val="21"/>
                <w:szCs w:val="21"/>
              </w:rPr>
              <w:t xml:space="preserve">», d’une « </w:t>
            </w:r>
            <w:r>
              <w:rPr>
                <w:rFonts w:ascii="Clearface-RegularItalic" w:hAnsi="Clearface-RegularItalic" w:cs="Clearface-RegularItalic"/>
                <w:i/>
                <w:iCs/>
                <w:sz w:val="21"/>
                <w:szCs w:val="21"/>
              </w:rPr>
              <w:t>élite</w:t>
            </w:r>
            <w:r>
              <w:rPr>
                <w:rFonts w:ascii="Clearface-Regular" w:hAnsi="Clearface-Regular" w:cs="Clearface-Regular"/>
                <w:sz w:val="21"/>
                <w:szCs w:val="21"/>
              </w:rPr>
              <w:t xml:space="preserve">, </w:t>
            </w:r>
            <w:r>
              <w:rPr>
                <w:rFonts w:ascii="Clearface-RegularItalic" w:hAnsi="Clearface-RegularItalic" w:cs="Clearface-RegularItalic"/>
                <w:i/>
                <w:iCs/>
                <w:sz w:val="21"/>
                <w:szCs w:val="21"/>
              </w:rPr>
              <w:t>soucieuse</w:t>
            </w:r>
            <w:r>
              <w:rPr>
                <w:rFonts w:ascii="Clearface-Regular" w:hAnsi="Clearface-Regular" w:cs="Clearface-Regular"/>
                <w:sz w:val="21"/>
                <w:szCs w:val="21"/>
              </w:rPr>
              <w:t xml:space="preserve"> </w:t>
            </w:r>
            <w:r>
              <w:rPr>
                <w:rFonts w:ascii="Clearface-RegularItalic" w:hAnsi="Clearface-RegularItalic" w:cs="Clearface-RegularItalic"/>
                <w:i/>
                <w:iCs/>
                <w:sz w:val="21"/>
                <w:szCs w:val="21"/>
              </w:rPr>
              <w:t>de se démarquer du public</w:t>
            </w:r>
            <w:r>
              <w:rPr>
                <w:rFonts w:ascii="Clearface-Regular" w:hAnsi="Clearface-Regular" w:cs="Clearface-Regular"/>
                <w:sz w:val="21"/>
                <w:szCs w:val="21"/>
              </w:rPr>
              <w:t xml:space="preserve"> » qui « </w:t>
            </w:r>
            <w:r>
              <w:rPr>
                <w:rFonts w:ascii="Clearface-RegularItalic" w:hAnsi="Clearface-RegularItalic" w:cs="Clearface-RegularItalic"/>
                <w:i/>
                <w:iCs/>
                <w:sz w:val="21"/>
                <w:szCs w:val="21"/>
              </w:rPr>
              <w:t xml:space="preserve">s’octroierait </w:t>
            </w:r>
            <w:r>
              <w:rPr>
                <w:rFonts w:ascii="Clearface-Regular" w:hAnsi="Clearface-Regular" w:cs="Clearface-Regular"/>
                <w:sz w:val="21"/>
                <w:szCs w:val="21"/>
              </w:rPr>
              <w:t xml:space="preserve">le </w:t>
            </w:r>
            <w:r>
              <w:rPr>
                <w:rFonts w:ascii="Clearface-RegularItalic" w:hAnsi="Clearface-RegularItalic" w:cs="Clearface-RegularItalic"/>
                <w:i/>
                <w:iCs/>
                <w:sz w:val="21"/>
                <w:szCs w:val="21"/>
              </w:rPr>
              <w:t>pouvoir</w:t>
            </w:r>
            <w:r>
              <w:rPr>
                <w:rFonts w:ascii="Clearface-Regular" w:hAnsi="Clearface-Regular" w:cs="Clearface-Regular"/>
                <w:sz w:val="21"/>
                <w:szCs w:val="21"/>
              </w:rPr>
              <w:t xml:space="preserve"> de </w:t>
            </w:r>
            <w:r>
              <w:rPr>
                <w:rFonts w:ascii="Clearface-RegularItalic" w:hAnsi="Clearface-RegularItalic" w:cs="Clearface-RegularItalic"/>
                <w:i/>
                <w:iCs/>
                <w:sz w:val="21"/>
                <w:szCs w:val="21"/>
              </w:rPr>
              <w:t xml:space="preserve">consacrer </w:t>
            </w:r>
            <w:r>
              <w:rPr>
                <w:rFonts w:ascii="Clearface-Regular" w:hAnsi="Clearface-Regular" w:cs="Clearface-Regular"/>
                <w:sz w:val="21"/>
                <w:szCs w:val="21"/>
              </w:rPr>
              <w:t xml:space="preserve">les œuvres » et déterminerait « la </w:t>
            </w:r>
            <w:r>
              <w:rPr>
                <w:rFonts w:ascii="Clearface-RegularItalic" w:hAnsi="Clearface-RegularItalic" w:cs="Clearface-RegularItalic"/>
                <w:i/>
                <w:iCs/>
                <w:sz w:val="21"/>
                <w:szCs w:val="21"/>
              </w:rPr>
              <w:t xml:space="preserve">bonne </w:t>
            </w:r>
            <w:r>
              <w:rPr>
                <w:rFonts w:ascii="Clearface-Regular" w:hAnsi="Clearface-Regular" w:cs="Clearface-Regular"/>
                <w:sz w:val="21"/>
                <w:szCs w:val="21"/>
              </w:rPr>
              <w:t>littérature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240" w:lineRule="auto"/>
              <w:textAlignment w:val="auto"/>
              <w:rPr>
                <w:rFonts w:ascii="Clearface-Regular" w:hAnsi="Clearface-Regular" w:cs="Clearface-Regular"/>
                <w:sz w:val="21"/>
                <w:szCs w:val="21"/>
              </w:rPr>
            </w:pPr>
            <w:r>
              <w:rPr>
                <w:rFonts w:ascii="Clearface-Regular" w:hAnsi="Clearface-Regular" w:cs="Clearface-Regular"/>
                <w:sz w:val="21"/>
                <w:szCs w:val="21"/>
              </w:rPr>
              <w:t>La notion de « distinction »</w:t>
            </w:r>
          </w:p>
          <w:p w:rsidR="00A92A4C" w:rsidRDefault="00A92A4C" w:rsidP="005673C7">
            <w:pPr>
              <w:suppressAutoHyphens w:val="0"/>
              <w:autoSpaceDE w:val="0"/>
              <w:spacing w:after="0" w:line="240" w:lineRule="auto"/>
              <w:textAlignment w:val="auto"/>
              <w:rPr>
                <w:rFonts w:ascii="Clearface-Regular" w:hAnsi="Clearface-Regular" w:cs="Clearface-Regular"/>
                <w:sz w:val="21"/>
                <w:szCs w:val="21"/>
              </w:rPr>
            </w:pPr>
            <w:r>
              <w:rPr>
                <w:rFonts w:ascii="Clearface-Regular" w:hAnsi="Clearface-Regular" w:cs="Clearface-Regular"/>
                <w:sz w:val="21"/>
                <w:szCs w:val="21"/>
              </w:rPr>
              <w:t>Suggère la supériorité qui place quelqu’un, ici une certaine élite littéraire, au-dessus du commun.</w:t>
            </w:r>
          </w:p>
        </w:tc>
      </w:tr>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240" w:lineRule="auto"/>
              <w:textAlignment w:val="auto"/>
              <w:rPr>
                <w:rFonts w:ascii="Clearface-Regular" w:hAnsi="Clearface-Regular" w:cs="Clearface-Regular"/>
                <w:sz w:val="21"/>
                <w:szCs w:val="21"/>
              </w:rPr>
            </w:pPr>
            <w:r>
              <w:rPr>
                <w:rFonts w:ascii="Clearface-Regular" w:hAnsi="Clearface-Regular" w:cs="Clearface-Regular"/>
                <w:sz w:val="21"/>
                <w:szCs w:val="21"/>
              </w:rPr>
              <w:t>Le consensus sur l’« universalité» de la littérature comme symbole d’une lecture de qualité</w:t>
            </w:r>
          </w:p>
          <w:p w:rsidR="00A92A4C" w:rsidRDefault="00A92A4C" w:rsidP="005673C7">
            <w:pPr>
              <w:suppressAutoHyphens w:val="0"/>
              <w:autoSpaceDE w:val="0"/>
              <w:spacing w:after="0" w:line="360" w:lineRule="auto"/>
              <w:jc w:val="both"/>
              <w:textAlignment w:val="auto"/>
            </w:pPr>
            <w:r>
              <w:rPr>
                <w:rFonts w:ascii="Clearface-Regular" w:hAnsi="Clearface-Regular" w:cs="Clearface-Regular"/>
                <w:sz w:val="21"/>
                <w:szCs w:val="21"/>
              </w:rPr>
              <w:t>(Paragraphe 1)</w:t>
            </w:r>
          </w:p>
          <w:p w:rsidR="00A92A4C" w:rsidRDefault="00A92A4C" w:rsidP="005673C7">
            <w:pPr>
              <w:spacing w:after="0" w:line="240" w:lineRule="auto"/>
              <w:ind w:firstLine="708"/>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240" w:lineRule="auto"/>
              <w:textAlignment w:val="auto"/>
              <w:rPr>
                <w:rFonts w:ascii="Clearface-Regular" w:hAnsi="Clearface-Regular" w:cs="Clearface-Regular"/>
                <w:sz w:val="21"/>
                <w:szCs w:val="21"/>
              </w:rPr>
            </w:pPr>
            <w:r>
              <w:rPr>
                <w:rFonts w:ascii="Clearface-Regular" w:hAnsi="Clearface-Regular" w:cs="Clearface-Regular"/>
                <w:sz w:val="21"/>
                <w:szCs w:val="21"/>
              </w:rPr>
              <w:t>La notion d’« universalité » suggère que l’opinion de l’élite est partagée par tous : seule la lecture des œuvres littéraires qu’elle décrète « bonnes » établit la qualité du lecteur.</w:t>
            </w:r>
          </w:p>
        </w:tc>
      </w:tr>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240" w:lineRule="auto"/>
              <w:textAlignment w:val="auto"/>
              <w:rPr>
                <w:rFonts w:ascii="Clearface-Regular" w:hAnsi="Clearface-Regular" w:cs="Clearface-Regular"/>
                <w:sz w:val="21"/>
                <w:szCs w:val="21"/>
              </w:rPr>
            </w:pPr>
            <w:r>
              <w:rPr>
                <w:rFonts w:ascii="Clearface-Regular" w:hAnsi="Clearface-Regular" w:cs="Clearface-Regular"/>
                <w:sz w:val="21"/>
                <w:szCs w:val="21"/>
              </w:rPr>
              <w:t>Les œuvres « classiques »</w:t>
            </w:r>
          </w:p>
          <w:p w:rsidR="00A92A4C" w:rsidRDefault="00A92A4C" w:rsidP="005673C7">
            <w:pPr>
              <w:suppressAutoHyphens w:val="0"/>
              <w:autoSpaceDE w:val="0"/>
              <w:spacing w:after="0" w:line="360" w:lineRule="auto"/>
              <w:jc w:val="both"/>
              <w:textAlignment w:val="auto"/>
            </w:pPr>
            <w:r>
              <w:rPr>
                <w:rFonts w:ascii="Clearface-Regular" w:hAnsi="Clearface-Regular" w:cs="Clearface-Regular"/>
                <w:sz w:val="21"/>
                <w:szCs w:val="21"/>
              </w:rPr>
              <w:t>(Paragraphe 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240" w:lineRule="auto"/>
              <w:textAlignment w:val="auto"/>
              <w:rPr>
                <w:rFonts w:ascii="Clearface-Regular" w:hAnsi="Clearface-Regular" w:cs="Clearface-Regular"/>
                <w:sz w:val="21"/>
                <w:szCs w:val="21"/>
              </w:rPr>
            </w:pPr>
            <w:r>
              <w:rPr>
                <w:rFonts w:ascii="Clearface-Regular" w:hAnsi="Clearface-Regular" w:cs="Clearface-Regular"/>
                <w:sz w:val="21"/>
                <w:szCs w:val="21"/>
              </w:rPr>
              <w:t>La notion de « classiques » suggère que seules sont « bonnes » les œuvres approuvées par l’élite ; elles excluent le roman policier et la bande dessinée, genres littéraires jugés inférieurs.</w:t>
            </w:r>
          </w:p>
        </w:tc>
      </w:tr>
      <w:tr w:rsidR="00A92A4C" w:rsidTr="005673C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240" w:lineRule="auto"/>
              <w:textAlignment w:val="auto"/>
              <w:rPr>
                <w:rFonts w:ascii="Clearface-Regular" w:hAnsi="Clearface-Regular" w:cs="Clearface-Regular"/>
                <w:sz w:val="21"/>
                <w:szCs w:val="21"/>
              </w:rPr>
            </w:pPr>
            <w:r>
              <w:rPr>
                <w:rFonts w:ascii="Clearface-Regular" w:hAnsi="Clearface-Regular" w:cs="Clearface-Regular"/>
                <w:sz w:val="21"/>
                <w:szCs w:val="21"/>
              </w:rPr>
              <w:t>Un nouveau « champ d’étude »</w:t>
            </w:r>
          </w:p>
          <w:p w:rsidR="00A92A4C" w:rsidRDefault="00A92A4C" w:rsidP="005673C7">
            <w:pPr>
              <w:suppressAutoHyphens w:val="0"/>
              <w:autoSpaceDE w:val="0"/>
              <w:spacing w:after="0" w:line="360" w:lineRule="auto"/>
              <w:jc w:val="both"/>
              <w:textAlignment w:val="auto"/>
            </w:pPr>
            <w:r>
              <w:rPr>
                <w:rFonts w:ascii="Clearface-Regular" w:hAnsi="Clearface-Regular" w:cs="Clearface-Regular"/>
                <w:sz w:val="21"/>
                <w:szCs w:val="21"/>
              </w:rPr>
              <w:t>(Dernier paragraphe)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360" w:lineRule="auto"/>
              <w:jc w:val="both"/>
              <w:textAlignment w:val="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A4C" w:rsidRDefault="00A92A4C" w:rsidP="005673C7">
            <w:pPr>
              <w:suppressAutoHyphens w:val="0"/>
              <w:autoSpaceDE w:val="0"/>
              <w:spacing w:after="0" w:line="240" w:lineRule="auto"/>
              <w:textAlignment w:val="auto"/>
              <w:rPr>
                <w:rFonts w:ascii="Clearface-Regular" w:hAnsi="Clearface-Regular" w:cs="Clearface-Regular"/>
                <w:sz w:val="21"/>
                <w:szCs w:val="21"/>
              </w:rPr>
            </w:pPr>
            <w:r>
              <w:rPr>
                <w:rFonts w:ascii="Clearface-Regular" w:hAnsi="Clearface-Regular" w:cs="Clearface-Regular"/>
                <w:sz w:val="21"/>
                <w:szCs w:val="21"/>
              </w:rPr>
              <w:t>La notion de nouveau « champ d’étude » suggère que les conceptions sur la lecture ne sont plus laissées aux intérêts des gens au pouvoir, mais résultent de l’application de méthodes scientifiques objectives. Ainsi, toute lecture peut maintenant devenir un sujet digne de recherche</w:t>
            </w:r>
          </w:p>
          <w:p w:rsidR="00A92A4C" w:rsidRDefault="00A92A4C" w:rsidP="005673C7">
            <w:pPr>
              <w:suppressAutoHyphens w:val="0"/>
              <w:autoSpaceDE w:val="0"/>
              <w:spacing w:after="0" w:line="240" w:lineRule="auto"/>
              <w:textAlignment w:val="auto"/>
              <w:rPr>
                <w:rFonts w:ascii="Clearface-Regular" w:hAnsi="Clearface-Regular" w:cs="Clearface-Regular"/>
                <w:sz w:val="21"/>
                <w:szCs w:val="21"/>
              </w:rPr>
            </w:pPr>
            <w:r>
              <w:rPr>
                <w:rFonts w:ascii="Clearface-Regular" w:hAnsi="Clearface-Regular" w:cs="Clearface-Regular"/>
                <w:sz w:val="21"/>
                <w:szCs w:val="21"/>
              </w:rPr>
              <w:t>; on ne juge plus la personne qui lit, on cherche plutôt à comprendre ses mécanismes de lecture.</w:t>
            </w:r>
          </w:p>
        </w:tc>
      </w:tr>
    </w:tbl>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rPr>
          <w:rFonts w:ascii="Times New Roman" w:hAnsi="Times New Roman" w:cs="Times New Roman"/>
        </w:rPr>
      </w:pPr>
    </w:p>
    <w:p w:rsidR="00A92A4C" w:rsidRDefault="00A92A4C" w:rsidP="00A92A4C">
      <w:pPr>
        <w:suppressAutoHyphens w:val="0"/>
        <w:autoSpaceDE w:val="0"/>
        <w:spacing w:after="0" w:line="360" w:lineRule="auto"/>
        <w:jc w:val="both"/>
        <w:textAlignment w:val="auto"/>
      </w:pPr>
      <w:r>
        <w:rPr>
          <w:rFonts w:ascii="Times New Roman" w:hAnsi="Times New Roman" w:cs="Times New Roman"/>
        </w:rPr>
        <w:t>http://www.ccdmd.qc.ca/media/lect_4_4-03Lecture.pdf</w:t>
      </w:r>
    </w:p>
    <w:p w:rsidR="00A92A4C" w:rsidRDefault="00A92A4C"/>
    <w:sectPr w:rsidR="00A92A4C" w:rsidSect="009B3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learface-RegularItalic">
    <w:altName w:val="Times New Roman"/>
    <w:charset w:val="00"/>
    <w:family w:val="roman"/>
    <w:pitch w:val="default"/>
    <w:sig w:usb0="00000000" w:usb1="00000000" w:usb2="00000000" w:usb3="00000000" w:csb0="00000000" w:csb1="00000000"/>
  </w:font>
  <w:font w:name="Clearface-Regular">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A92A4C"/>
    <w:rsid w:val="009B3322"/>
    <w:rsid w:val="009D6851"/>
    <w:rsid w:val="00A92A4C"/>
    <w:rsid w:val="00BA06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A4C"/>
    <w:pPr>
      <w:suppressAutoHyphens/>
      <w:autoSpaceDN w:val="0"/>
      <w:spacing w:after="160" w:line="244" w:lineRule="auto"/>
      <w:textAlignment w:val="baseline"/>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1087</Words>
  <Characters>5981</Characters>
  <Application>Microsoft Office Word</Application>
  <DocSecurity>0</DocSecurity>
  <Lines>49</Lines>
  <Paragraphs>14</Paragraphs>
  <ScaleCrop>false</ScaleCrop>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2022-10-03T12:24:00Z</dcterms:created>
  <dcterms:modified xsi:type="dcterms:W3CDTF">2022-10-07T19:45:00Z</dcterms:modified>
</cp:coreProperties>
</file>