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8" w:rsidRPr="00824947" w:rsidRDefault="00951CA8" w:rsidP="00951CA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24947">
        <w:rPr>
          <w:rFonts w:asciiTheme="majorBidi" w:hAnsiTheme="majorBidi" w:cstheme="majorBidi"/>
          <w:b/>
          <w:bCs/>
          <w:sz w:val="20"/>
          <w:szCs w:val="20"/>
        </w:rPr>
        <w:t xml:space="preserve">University of </w:t>
      </w:r>
      <w:proofErr w:type="spellStart"/>
      <w:r w:rsidRPr="00824947">
        <w:rPr>
          <w:rFonts w:asciiTheme="majorBidi" w:hAnsiTheme="majorBidi" w:cstheme="majorBidi"/>
          <w:b/>
          <w:bCs/>
          <w:sz w:val="20"/>
          <w:szCs w:val="20"/>
        </w:rPr>
        <w:t>Batna</w:t>
      </w:r>
      <w:proofErr w:type="spellEnd"/>
      <w:r w:rsidRPr="00824947">
        <w:rPr>
          <w:rFonts w:asciiTheme="majorBidi" w:hAnsiTheme="majorBidi" w:cstheme="majorBidi"/>
          <w:b/>
          <w:bCs/>
          <w:sz w:val="20"/>
          <w:szCs w:val="20"/>
        </w:rPr>
        <w:t xml:space="preserve"> 2             Faculty of Letters and Foreign Languages              Department of English</w:t>
      </w:r>
    </w:p>
    <w:p w:rsidR="00951CA8" w:rsidRPr="00824947" w:rsidRDefault="00951CA8" w:rsidP="00951CA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24947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6358" wp14:editId="1616DF5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</wp:posOffset>
                </wp:positionV>
                <wp:extent cx="1581150" cy="514350"/>
                <wp:effectExtent l="0" t="0" r="19050" b="1905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"/>
                        </a:xfrm>
                        <a:prstGeom prst="plaque">
                          <a:avLst>
                            <a:gd name="adj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A8" w:rsidRPr="00D9424D" w:rsidRDefault="00951CA8" w:rsidP="00951CA8">
                            <w:pPr>
                              <w:tabs>
                                <w:tab w:val="right" w:pos="0"/>
                                <w:tab w:val="right" w:pos="180"/>
                              </w:tabs>
                              <w:bidi w:val="0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 w:bidi="ar-DZ"/>
                              </w:rPr>
                            </w:pPr>
                            <w:r w:rsidRPr="00C04A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Timing: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1hour</w:t>
                            </w:r>
                          </w:p>
                          <w:p w:rsidR="00951CA8" w:rsidRPr="00BA45B5" w:rsidRDefault="00951CA8" w:rsidP="0095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6" type="#_x0000_t21" style="position:absolute;margin-left:384pt;margin-top:6.65pt;width:12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" adj="6331">
                <v:textbox>
                  <w:txbxContent>
                    <w:p w:rsidR="00951CA8" w:rsidRPr="00D9424D" w:rsidRDefault="00951CA8" w:rsidP="00951CA8">
                      <w:pPr>
                        <w:tabs>
                          <w:tab w:val="right" w:pos="0"/>
                          <w:tab w:val="right" w:pos="180"/>
                        </w:tabs>
                        <w:bidi w:val="0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lang w:val="fr-FR" w:bidi="ar-DZ"/>
                        </w:rPr>
                      </w:pPr>
                      <w:r w:rsidRPr="00C04A2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Timing: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1hour</w:t>
                      </w:r>
                    </w:p>
                    <w:p w:rsidR="00951CA8" w:rsidRPr="00BA45B5" w:rsidRDefault="00951CA8" w:rsidP="00951CA8"/>
                  </w:txbxContent>
                </v:textbox>
              </v:shape>
            </w:pict>
          </mc:Fallback>
        </mc:AlternateContent>
      </w:r>
      <w:r w:rsidRPr="00824947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1F0AF" wp14:editId="41FB1D46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</wp:posOffset>
                </wp:positionV>
                <wp:extent cx="1921510" cy="430530"/>
                <wp:effectExtent l="0" t="0" r="21590" b="26670"/>
                <wp:wrapNone/>
                <wp:docPr id="2" name="Étiquet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430530"/>
                        </a:xfrm>
                        <a:prstGeom prst="plaque">
                          <a:avLst>
                            <a:gd name="adj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A8" w:rsidRPr="008B4309" w:rsidRDefault="00951CA8" w:rsidP="00951CA8">
                            <w:pPr>
                              <w:tabs>
                                <w:tab w:val="right" w:pos="0"/>
                                <w:tab w:val="right" w:pos="180"/>
                              </w:tabs>
                              <w:bidi w:val="0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04A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Teacher: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Dr</w:t>
                            </w:r>
                            <w:r w:rsidRPr="00C04A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A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MOUAS</w:t>
                            </w:r>
                          </w:p>
                          <w:p w:rsidR="00951CA8" w:rsidRPr="00BA45B5" w:rsidRDefault="00951CA8" w:rsidP="0095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iquette 2" o:spid="_x0000_s1027" type="#_x0000_t21" style="position:absolute;margin-left:-8.25pt;margin-top:2.7pt;width:151.3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" adj="6331">
                <v:textbox>
                  <w:txbxContent>
                    <w:p w:rsidR="00951CA8" w:rsidRPr="008B4309" w:rsidRDefault="00951CA8" w:rsidP="00951CA8">
                      <w:pPr>
                        <w:tabs>
                          <w:tab w:val="right" w:pos="0"/>
                          <w:tab w:val="right" w:pos="180"/>
                        </w:tabs>
                        <w:bidi w:val="0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04A2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Teacher: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Dr</w:t>
                      </w:r>
                      <w:r w:rsidRPr="00C04A2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04A2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MOUAS</w:t>
                      </w:r>
                    </w:p>
                    <w:p w:rsidR="00951CA8" w:rsidRPr="00BA45B5" w:rsidRDefault="00951CA8" w:rsidP="00951CA8"/>
                  </w:txbxContent>
                </v:textbox>
              </v:shape>
            </w:pict>
          </mc:Fallback>
        </mc:AlternateContent>
      </w:r>
    </w:p>
    <w:p w:rsidR="00951CA8" w:rsidRPr="00824947" w:rsidRDefault="00951CA8" w:rsidP="00951CA8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824947">
        <w:rPr>
          <w:rFonts w:asciiTheme="majorBidi" w:hAnsiTheme="majorBidi" w:cstheme="majorBidi"/>
          <w:b/>
          <w:sz w:val="20"/>
          <w:szCs w:val="20"/>
        </w:rPr>
        <w:t xml:space="preserve">Master </w:t>
      </w:r>
      <w:proofErr w:type="gramStart"/>
      <w:r w:rsidRPr="00824947">
        <w:rPr>
          <w:rFonts w:asciiTheme="majorBidi" w:hAnsiTheme="majorBidi" w:cstheme="majorBidi"/>
          <w:b/>
          <w:sz w:val="20"/>
          <w:szCs w:val="20"/>
        </w:rPr>
        <w:t>I  (</w:t>
      </w:r>
      <w:proofErr w:type="gramEnd"/>
      <w:r w:rsidRPr="00824947">
        <w:rPr>
          <w:rFonts w:asciiTheme="majorBidi" w:hAnsiTheme="majorBidi" w:cstheme="majorBidi"/>
          <w:b/>
          <w:sz w:val="20"/>
          <w:szCs w:val="20"/>
        </w:rPr>
        <w:t>LC)</w:t>
      </w:r>
    </w:p>
    <w:p w:rsidR="00951CA8" w:rsidRPr="00824947" w:rsidRDefault="00951CA8" w:rsidP="00951CA8">
      <w:pPr>
        <w:tabs>
          <w:tab w:val="left" w:pos="484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2022-2023</w:t>
      </w:r>
    </w:p>
    <w:p w:rsidR="00951CA8" w:rsidRPr="00824947" w:rsidRDefault="00951CA8" w:rsidP="00951CA8">
      <w:pPr>
        <w:tabs>
          <w:tab w:val="left" w:pos="4755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824947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EED01" wp14:editId="40F732C1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3600450" cy="495300"/>
                <wp:effectExtent l="0" t="0" r="19050" b="19050"/>
                <wp:wrapNone/>
                <wp:docPr id="1" name="Étiquet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95300"/>
                        </a:xfrm>
                        <a:prstGeom prst="plaque">
                          <a:avLst>
                            <a:gd name="adj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A8" w:rsidRPr="00D9424D" w:rsidRDefault="00951CA8" w:rsidP="00951CA8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8286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EXAM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N° 1</w:t>
                            </w:r>
                            <w:r w:rsidRPr="00E8286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Ethnography of Communication </w:t>
                            </w:r>
                            <w:r w:rsidRPr="00E8286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iquette 1" o:spid="_x0000_s1028" type="#_x0000_t21" style="position:absolute;left:0;text-align:left;margin-left:107.25pt;margin-top:4.15pt;width:28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" adj="6331">
                <v:textbox>
                  <w:txbxContent>
                    <w:p w:rsidR="00951CA8" w:rsidRPr="00D9424D" w:rsidRDefault="00951CA8" w:rsidP="00951CA8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E8286A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EXAM</w:t>
                      </w: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N° 1</w:t>
                      </w:r>
                      <w:r w:rsidRPr="00E8286A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in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Ethnography of Communication </w:t>
                      </w:r>
                      <w:r w:rsidRPr="00E8286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CA8" w:rsidRPr="00824947" w:rsidRDefault="00951CA8" w:rsidP="00951CA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951CA8" w:rsidRPr="00222975" w:rsidRDefault="00951CA8" w:rsidP="00951CA8">
      <w:p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951CA8" w:rsidRDefault="00951CA8" w:rsidP="00951CA8">
      <w:pPr>
        <w:tabs>
          <w:tab w:val="left" w:pos="5700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51CA8" w:rsidRDefault="00951CA8" w:rsidP="00951CA8">
      <w:pPr>
        <w:tabs>
          <w:tab w:val="left" w:pos="5700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51CA8" w:rsidRPr="00BA6738" w:rsidRDefault="00951CA8" w:rsidP="00951CA8">
      <w:pPr>
        <w:tabs>
          <w:tab w:val="left" w:pos="5700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A673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Name: </w:t>
      </w:r>
      <w:r w:rsidRPr="00BA6738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………………………………………………..</w:t>
      </w:r>
      <w:r w:rsidRPr="00BA6738"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951CA8" w:rsidRPr="00893D4A" w:rsidRDefault="00951CA8" w:rsidP="00951CA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ar-SA"/>
        </w:rPr>
      </w:pPr>
    </w:p>
    <w:p w:rsidR="00951CA8" w:rsidRPr="00BA6738" w:rsidRDefault="00951CA8" w:rsidP="00951CA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ar-SA"/>
        </w:rPr>
      </w:pPr>
      <w:r w:rsidRPr="00BA673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ar-SA"/>
        </w:rPr>
        <w:t>EXAM:</w:t>
      </w:r>
      <w:r w:rsidRPr="00BA6738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True or False?</w:t>
      </w:r>
    </w:p>
    <w:p w:rsidR="00951CA8" w:rsidRPr="0030651C" w:rsidRDefault="00951CA8" w:rsidP="00951CA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ar-SA"/>
        </w:rPr>
      </w:pPr>
    </w:p>
    <w:tbl>
      <w:tblPr>
        <w:tblStyle w:val="Grilledutableau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  <w:gridCol w:w="709"/>
        <w:gridCol w:w="708"/>
      </w:tblGrid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Statement</w:t>
            </w:r>
          </w:p>
        </w:tc>
        <w:tc>
          <w:tcPr>
            <w:tcW w:w="709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bookmarkStart w:id="0" w:name="_GoBack" w:colFirst="1" w:colLast="2"/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1. </w:t>
            </w:r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 xml:space="preserve">We classify the 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>addressor, addressee, speaker, hearer or audience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in the genre </w:t>
            </w:r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t>component of the SPEAKING model.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Pr="00B934F3" w:rsidRDefault="00951CA8" w:rsidP="00AA0994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2</w:t>
            </w:r>
            <w:r w:rsidRPr="00B934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S</w:t>
            </w:r>
            <w:r w:rsidRPr="00B934F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hared understandings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and </w:t>
            </w:r>
            <w:r w:rsidRPr="00B934F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whether it is appropriate to interrupt or not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and</w:t>
            </w:r>
            <w:r w:rsidRPr="00B934F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the allocation of speaking turns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are classified in the key component of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Hymes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’ grid</w:t>
            </w:r>
            <w:r w:rsidRPr="00B934F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rPr>
          <w:trHeight w:val="730"/>
        </w:trPr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A referential statement, a request, or a command either verbal or nonverbal is classified in the communicative situation unit of analysis.</w:t>
            </w:r>
            <w:r w:rsidR="00A865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A86516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Default="00951CA8" w:rsidP="00AA0994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4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6822A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Whorf was a fire engineer by </w:t>
            </w:r>
            <w:proofErr w:type="spellStart"/>
            <w:r w:rsidRPr="006822A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advocation</w:t>
            </w:r>
            <w:proofErr w:type="spellEnd"/>
            <w:r w:rsidRPr="006822A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and a linguist by profession.</w:t>
            </w:r>
          </w:p>
          <w:p w:rsidR="00951CA8" w:rsidRPr="00EF2055" w:rsidRDefault="00951CA8" w:rsidP="00AA0994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5.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Age, ethnicity, gender, relationships of persons to each other is classified in the participants’ component of </w:t>
            </w:r>
            <w:proofErr w:type="spellStart"/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Hymes</w:t>
            </w:r>
            <w:proofErr w:type="spellEnd"/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’ model.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6.</w:t>
            </w:r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val="id-ID" w:bidi="ar-DZ"/>
              </w:rPr>
              <w:t xml:space="preserve"> Ethnographers classify oral and written categories such as anecdote, poem, tale, proverb, prayer, lecture and commercial as</w:t>
            </w:r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proofErr w:type="spellStart"/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val="fr-FR" w:bidi="ar-DZ"/>
              </w:rPr>
              <w:t>instrumentalities</w:t>
            </w:r>
            <w:proofErr w:type="spellEnd"/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val="fr-FR" w:bidi="ar-DZ"/>
              </w:rPr>
              <w:t>.</w:t>
            </w:r>
            <w:r w:rsidRPr="00EF2055">
              <w:rPr>
                <w:rFonts w:asciiTheme="majorBidi" w:eastAsiaTheme="minorEastAsia" w:hAnsiTheme="majorBidi" w:cstheme="majorBidi"/>
                <w:sz w:val="24"/>
                <w:szCs w:val="24"/>
                <w:lang w:val="id-ID" w:bidi="ar-DZ"/>
              </w:rPr>
              <w:t xml:space="preserve">  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BD6201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7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Prayers,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letters or an SMS message are different types of genre.</w:t>
            </w:r>
          </w:p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8.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In a funeral reception, there are two types of participants. 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9.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These two aspects answer the ‘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where’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and the ‘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what psychological effect’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of the communicative event. They are: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setting and scene respectively.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BD6201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10. </w:t>
            </w:r>
            <w:r w:rsidR="00BD6201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We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specify the language we use</w:t>
            </w:r>
            <w:r w:rsidR="00BD6201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, w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hether formal/informal or oral/written</w:t>
            </w:r>
            <w:r w:rsidR="00BD6201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in the instrumentalities component.</w:t>
            </w:r>
          </w:p>
        </w:tc>
        <w:tc>
          <w:tcPr>
            <w:tcW w:w="709" w:type="dxa"/>
          </w:tcPr>
          <w:p w:rsidR="00951CA8" w:rsidRPr="0072371D" w:rsidRDefault="00A86516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11. A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fixed adjacency pair to show grief which is religiously and socially agreed on like “May Allah increase your reward, console you and forgive the deceased” is one form of act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sequences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.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51CA8" w:rsidRPr="006822A6" w:rsidRDefault="00951CA8" w:rsidP="00AA0994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A86516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12.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The </w:t>
            </w:r>
            <w:r w:rsidRPr="002E0D7B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Whorf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ian Hypothesis revolves around the idea that language has a power and can control how we see the world.</w:t>
            </w:r>
          </w:p>
        </w:tc>
        <w:tc>
          <w:tcPr>
            <w:tcW w:w="709" w:type="dxa"/>
          </w:tcPr>
          <w:p w:rsidR="00951CA8" w:rsidRPr="0072371D" w:rsidRDefault="00A86516" w:rsidP="0037156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6822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In a funeral reception, people should lower their voices; speak softly in a tone of grief and sorrow.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It refers to the key 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speaking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component.</w:t>
            </w:r>
          </w:p>
        </w:tc>
        <w:tc>
          <w:tcPr>
            <w:tcW w:w="709" w:type="dxa"/>
          </w:tcPr>
          <w:p w:rsidR="00951CA8" w:rsidRPr="0072371D" w:rsidRDefault="00EC34EC" w:rsidP="0037156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EF2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The first sociolinguist who introduced the term ‘shared patterns’ regarding language forms and use to define speech community was </w:t>
            </w:r>
            <w:proofErr w:type="spellStart"/>
            <w:r w:rsidRPr="00EF2055">
              <w:rPr>
                <w:rFonts w:asciiTheme="majorBidi" w:hAnsiTheme="majorBidi" w:cstheme="majorBidi"/>
                <w:sz w:val="24"/>
                <w:szCs w:val="24"/>
              </w:rPr>
              <w:t>Labov</w:t>
            </w:r>
            <w:proofErr w:type="spellEnd"/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in 1972.</w:t>
            </w:r>
            <w:r w:rsidRPr="00EF20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Default="00951CA8" w:rsidP="00AA0994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15. The </w:t>
            </w:r>
            <w:r w:rsidRPr="00B934F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tone, manner or spirit in which a speech act is performed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is part of the key component.</w:t>
            </w:r>
          </w:p>
          <w:p w:rsidR="00951CA8" w:rsidRPr="00B934F3" w:rsidRDefault="00951CA8" w:rsidP="00AA0994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16. </w:t>
            </w:r>
            <w:r w:rsidRPr="006822A6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We 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classify the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various forms and styles of speech as formal, informal, casual, etc. or standard /substandard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the act sequence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component of the EC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EC34EC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Default="00951CA8" w:rsidP="00AA09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17.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According to Whorf, language determines the way we behave.</w:t>
            </w:r>
          </w:p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684C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unit of analysis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which we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classify the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unit which </w:t>
            </w:r>
            <w:r w:rsidRPr="00EF2055">
              <w:rPr>
                <w:rFonts w:asciiTheme="majorBidi" w:eastAsia="Times New Roman" w:hAnsiTheme="majorBidi" w:cstheme="majorBidi"/>
                <w:sz w:val="24"/>
                <w:szCs w:val="24"/>
                <w:lang w:val="id-ID" w:eastAsia="ar-SA"/>
              </w:rPr>
              <w:t>has he same components throughout, such as: the same general purpose, setting, topic, participants, language variety, tone, and rules for interaction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is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 the situational unit.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951CA8" w:rsidRPr="0072371D" w:rsidRDefault="00EC34EC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F</w:t>
            </w:r>
          </w:p>
        </w:tc>
      </w:tr>
      <w:tr w:rsidR="00951CA8" w:rsidRPr="00EF2055" w:rsidTr="00AA0994">
        <w:tc>
          <w:tcPr>
            <w:tcW w:w="9640" w:type="dxa"/>
          </w:tcPr>
          <w:p w:rsidR="00951CA8" w:rsidRPr="00EF2055" w:rsidRDefault="00951CA8" w:rsidP="00AA099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19. </w:t>
            </w:r>
            <w:r w:rsidRPr="00684C58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Ethnography of communication includes descriptions of the purposes of the speech event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. These are called ends. </w:t>
            </w: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951CA8" w:rsidRPr="00EF2055" w:rsidTr="00AA0994">
        <w:tc>
          <w:tcPr>
            <w:tcW w:w="9640" w:type="dxa"/>
          </w:tcPr>
          <w:p w:rsidR="00951CA8" w:rsidRDefault="00951CA8" w:rsidP="00AA09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F20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20</w:t>
            </w:r>
            <w:r w:rsidRPr="00EF20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.</w:t>
            </w:r>
            <w:r w:rsidRPr="00EF20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6425">
              <w:rPr>
                <w:rFonts w:asciiTheme="majorBidi" w:hAnsiTheme="majorBidi" w:cstheme="majorBidi"/>
                <w:sz w:val="25"/>
                <w:szCs w:val="25"/>
              </w:rPr>
              <w:t>Act sequences can include silence, laughter</w:t>
            </w:r>
            <w:r>
              <w:rPr>
                <w:rFonts w:asciiTheme="majorBidi" w:hAnsiTheme="majorBidi" w:cstheme="majorBidi"/>
                <w:sz w:val="25"/>
                <w:szCs w:val="25"/>
              </w:rPr>
              <w:t xml:space="preserve"> as well as</w:t>
            </w:r>
            <w:r w:rsidRPr="007A6425">
              <w:rPr>
                <w:rFonts w:asciiTheme="majorBidi" w:hAnsiTheme="majorBidi" w:cstheme="majorBidi"/>
                <w:sz w:val="25"/>
                <w:szCs w:val="25"/>
              </w:rPr>
              <w:t xml:space="preserve"> gesture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  <w:p w:rsidR="00951CA8" w:rsidRPr="00EF2055" w:rsidRDefault="00951CA8" w:rsidP="00AA0994">
            <w:pPr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2371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708" w:type="dxa"/>
          </w:tcPr>
          <w:p w:rsidR="00951CA8" w:rsidRPr="0072371D" w:rsidRDefault="00951CA8" w:rsidP="0037156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ar-SA"/>
              </w:rPr>
            </w:pPr>
          </w:p>
        </w:tc>
      </w:tr>
      <w:bookmarkEnd w:id="0"/>
    </w:tbl>
    <w:p w:rsidR="00153FB0" w:rsidRDefault="0072371D"/>
    <w:sectPr w:rsidR="00153FB0" w:rsidSect="00824947">
      <w:pgSz w:w="11906" w:h="16838"/>
      <w:pgMar w:top="568" w:right="720" w:bottom="56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8"/>
    <w:rsid w:val="00137160"/>
    <w:rsid w:val="002902DA"/>
    <w:rsid w:val="00371565"/>
    <w:rsid w:val="0046576C"/>
    <w:rsid w:val="0072371D"/>
    <w:rsid w:val="00951CA8"/>
    <w:rsid w:val="00A86516"/>
    <w:rsid w:val="00BD6201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8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8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2023-01-08T07:03:00Z</cp:lastPrinted>
  <dcterms:created xsi:type="dcterms:W3CDTF">2023-01-15T18:25:00Z</dcterms:created>
  <dcterms:modified xsi:type="dcterms:W3CDTF">2023-01-20T20:12:00Z</dcterms:modified>
</cp:coreProperties>
</file>