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84" w:rsidRPr="002F7052" w:rsidRDefault="002F7052" w:rsidP="002F7052">
      <w:pPr>
        <w:rPr>
          <w:b/>
          <w:bCs/>
          <w:sz w:val="28"/>
          <w:szCs w:val="28"/>
        </w:rPr>
      </w:pPr>
      <w:bookmarkStart w:id="0" w:name="_GoBack"/>
      <w:bookmarkEnd w:id="0"/>
      <w:r w:rsidRPr="002F7052">
        <w:rPr>
          <w:b/>
          <w:bCs/>
          <w:sz w:val="28"/>
          <w:szCs w:val="28"/>
          <w:u w:val="single"/>
        </w:rPr>
        <w:t>QUESTION</w:t>
      </w:r>
      <w:r w:rsidRPr="002F7052">
        <w:rPr>
          <w:b/>
          <w:bCs/>
          <w:sz w:val="28"/>
          <w:szCs w:val="28"/>
        </w:rPr>
        <w:t xml:space="preserve"> : Cherchez un</w:t>
      </w:r>
      <w:r>
        <w:rPr>
          <w:b/>
          <w:bCs/>
          <w:sz w:val="28"/>
          <w:szCs w:val="28"/>
        </w:rPr>
        <w:t xml:space="preserve"> (des)</w:t>
      </w:r>
      <w:r w:rsidRPr="002F7052">
        <w:rPr>
          <w:b/>
          <w:bCs/>
          <w:sz w:val="28"/>
          <w:szCs w:val="28"/>
        </w:rPr>
        <w:t xml:space="preserve"> exemple</w:t>
      </w:r>
      <w:r>
        <w:rPr>
          <w:b/>
          <w:bCs/>
          <w:sz w:val="28"/>
          <w:szCs w:val="28"/>
        </w:rPr>
        <w:t>(s)</w:t>
      </w:r>
      <w:r w:rsidRPr="002F7052">
        <w:rPr>
          <w:b/>
          <w:bCs/>
          <w:sz w:val="28"/>
          <w:szCs w:val="28"/>
        </w:rPr>
        <w:t xml:space="preserve"> de figure</w:t>
      </w:r>
      <w:r>
        <w:rPr>
          <w:b/>
          <w:bCs/>
          <w:sz w:val="28"/>
          <w:szCs w:val="28"/>
        </w:rPr>
        <w:t>s</w:t>
      </w:r>
      <w:r w:rsidRPr="002F7052">
        <w:rPr>
          <w:b/>
          <w:bCs/>
          <w:sz w:val="28"/>
          <w:szCs w:val="28"/>
        </w:rPr>
        <w:t xml:space="preserve"> de style pour chaque type/genre de discours.</w:t>
      </w:r>
    </w:p>
    <w:tbl>
      <w:tblPr>
        <w:tblStyle w:val="Grilledutableau"/>
        <w:tblW w:w="15650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908"/>
        <w:gridCol w:w="1852"/>
        <w:gridCol w:w="835"/>
        <w:gridCol w:w="790"/>
        <w:gridCol w:w="866"/>
        <w:gridCol w:w="785"/>
        <w:gridCol w:w="998"/>
        <w:gridCol w:w="1021"/>
        <w:gridCol w:w="1090"/>
        <w:gridCol w:w="947"/>
        <w:gridCol w:w="973"/>
        <w:gridCol w:w="1041"/>
        <w:gridCol w:w="1276"/>
        <w:gridCol w:w="567"/>
        <w:gridCol w:w="851"/>
        <w:gridCol w:w="850"/>
      </w:tblGrid>
      <w:tr w:rsidR="002F7052" w:rsidTr="00861036">
        <w:tc>
          <w:tcPr>
            <w:tcW w:w="2760" w:type="dxa"/>
            <w:gridSpan w:val="2"/>
            <w:tcBorders>
              <w:top w:val="nil"/>
              <w:left w:val="nil"/>
            </w:tcBorders>
          </w:tcPr>
          <w:p w:rsidR="002F7052" w:rsidRDefault="002F7052" w:rsidP="00A35AB9"/>
        </w:tc>
        <w:tc>
          <w:tcPr>
            <w:tcW w:w="835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Roman</w:t>
            </w:r>
          </w:p>
        </w:tc>
        <w:tc>
          <w:tcPr>
            <w:tcW w:w="790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poésie</w:t>
            </w:r>
          </w:p>
        </w:tc>
        <w:tc>
          <w:tcPr>
            <w:tcW w:w="866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théâtre</w:t>
            </w:r>
          </w:p>
        </w:tc>
        <w:tc>
          <w:tcPr>
            <w:tcW w:w="785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Presse</w:t>
            </w:r>
          </w:p>
        </w:tc>
        <w:tc>
          <w:tcPr>
            <w:tcW w:w="998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politique</w:t>
            </w:r>
          </w:p>
        </w:tc>
        <w:tc>
          <w:tcPr>
            <w:tcW w:w="1021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B13065">
              <w:rPr>
                <w:b/>
                <w:bCs/>
                <w:sz w:val="20"/>
                <w:szCs w:val="20"/>
                <w:highlight w:val="cyan"/>
              </w:rPr>
              <w:t>facebook</w:t>
            </w:r>
            <w:proofErr w:type="spellEnd"/>
          </w:p>
        </w:tc>
        <w:tc>
          <w:tcPr>
            <w:tcW w:w="1090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B13065">
              <w:rPr>
                <w:b/>
                <w:bCs/>
                <w:sz w:val="20"/>
                <w:szCs w:val="20"/>
                <w:highlight w:val="cyan"/>
              </w:rPr>
              <w:t>instagram</w:t>
            </w:r>
            <w:proofErr w:type="spellEnd"/>
          </w:p>
        </w:tc>
        <w:tc>
          <w:tcPr>
            <w:tcW w:w="947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chanson</w:t>
            </w:r>
          </w:p>
        </w:tc>
        <w:tc>
          <w:tcPr>
            <w:tcW w:w="973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Publicité</w:t>
            </w:r>
          </w:p>
        </w:tc>
        <w:tc>
          <w:tcPr>
            <w:tcW w:w="1041" w:type="dxa"/>
          </w:tcPr>
          <w:p w:rsidR="002F7052" w:rsidRPr="00B13065" w:rsidRDefault="002F7052" w:rsidP="00A35AB9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B13065">
              <w:rPr>
                <w:b/>
                <w:bCs/>
                <w:sz w:val="18"/>
                <w:szCs w:val="18"/>
                <w:highlight w:val="cyan"/>
              </w:rPr>
              <w:t>caricature</w:t>
            </w:r>
          </w:p>
        </w:tc>
        <w:tc>
          <w:tcPr>
            <w:tcW w:w="1276" w:type="dxa"/>
          </w:tcPr>
          <w:p w:rsidR="002F7052" w:rsidRPr="00B13065" w:rsidRDefault="002F7052" w:rsidP="00A35AB9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B13065">
              <w:rPr>
                <w:b/>
                <w:bCs/>
                <w:sz w:val="18"/>
                <w:szCs w:val="18"/>
                <w:highlight w:val="cyan"/>
              </w:rPr>
              <w:t>Domaine</w:t>
            </w:r>
          </w:p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18"/>
                <w:szCs w:val="18"/>
                <w:highlight w:val="cyan"/>
              </w:rPr>
              <w:t>scientifique</w:t>
            </w:r>
          </w:p>
        </w:tc>
        <w:tc>
          <w:tcPr>
            <w:tcW w:w="567" w:type="dxa"/>
          </w:tcPr>
          <w:p w:rsidR="002F7052" w:rsidRPr="00B13065" w:rsidRDefault="002F7052" w:rsidP="00A35AB9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B13065">
              <w:rPr>
                <w:b/>
                <w:bCs/>
                <w:sz w:val="18"/>
                <w:szCs w:val="18"/>
                <w:highlight w:val="cyan"/>
              </w:rPr>
              <w:t>droit</w:t>
            </w:r>
          </w:p>
        </w:tc>
        <w:tc>
          <w:tcPr>
            <w:tcW w:w="851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Textes sacrés</w:t>
            </w:r>
          </w:p>
        </w:tc>
        <w:tc>
          <w:tcPr>
            <w:tcW w:w="850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Autres</w:t>
            </w:r>
          </w:p>
        </w:tc>
      </w:tr>
      <w:tr w:rsidR="007A38A0" w:rsidTr="00861036">
        <w:tc>
          <w:tcPr>
            <w:tcW w:w="908" w:type="dxa"/>
            <w:vMerge w:val="restart"/>
            <w:textDirection w:val="btLr"/>
          </w:tcPr>
          <w:p w:rsidR="007A38A0" w:rsidRPr="007A38A0" w:rsidRDefault="007A38A0" w:rsidP="007A38A0">
            <w:pPr>
              <w:pStyle w:val="Default"/>
              <w:ind w:left="113"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7052">
              <w:rPr>
                <w:rFonts w:ascii="Times" w:hAnsi="Times" w:cs="Times"/>
                <w:b/>
                <w:bCs/>
                <w:sz w:val="18"/>
                <w:szCs w:val="18"/>
                <w:highlight w:val="yellow"/>
                <w:shd w:val="clear" w:color="auto" w:fill="FFFFFF"/>
              </w:rPr>
              <w:t>I. Les figures de  répétition / d’insistance</w:t>
            </w:r>
          </w:p>
        </w:tc>
        <w:tc>
          <w:tcPr>
            <w:tcW w:w="1852" w:type="dxa"/>
          </w:tcPr>
          <w:p w:rsidR="007A38A0" w:rsidRPr="002F7052" w:rsidRDefault="00B2600E" w:rsidP="00A35AB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2F705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L’ANAPHORE 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115B84" w:rsidRDefault="007A38A0" w:rsidP="00A35AB9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2F705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L’ÉPIPHORE 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115B84" w:rsidRDefault="007A38A0" w:rsidP="00A35AB9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2F705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LA RÉPÉTITION 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  <w:textDirection w:val="btLr"/>
          </w:tcPr>
          <w:p w:rsidR="007A38A0" w:rsidRPr="007A38A0" w:rsidRDefault="007A38A0" w:rsidP="007A38A0">
            <w:pPr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7052">
              <w:rPr>
                <w:rFonts w:cstheme="minorHAnsi"/>
                <w:b/>
                <w:bCs/>
                <w:color w:val="000000"/>
                <w:sz w:val="18"/>
                <w:szCs w:val="18"/>
                <w:highlight w:val="yellow"/>
              </w:rPr>
              <w:t xml:space="preserve">LE PARALLÉLISME 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115B84" w:rsidRDefault="007A38A0" w:rsidP="00A35AB9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2F705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LE CHIASME 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115B84" w:rsidRDefault="007A38A0" w:rsidP="00A35A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F7052">
              <w:rPr>
                <w:rFonts w:cstheme="min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L’ACCUMULATION 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115B84" w:rsidRDefault="007A38A0" w:rsidP="00A35A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yellow"/>
                <w:shd w:val="clear" w:color="auto" w:fill="FFFFFF"/>
              </w:rPr>
              <w:t xml:space="preserve">LA GRADATION </w:t>
            </w: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115B84" w:rsidRDefault="007A38A0" w:rsidP="00A35AB9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highlight w:val="yellow"/>
                <w:shd w:val="clear" w:color="auto" w:fill="FFFFFF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yellow"/>
                <w:shd w:val="clear" w:color="auto" w:fill="FFFFFF"/>
              </w:rPr>
              <w:t xml:space="preserve">LA PRÉTÉRITION </w:t>
            </w: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 w:val="restart"/>
            <w:textDirection w:val="btLr"/>
          </w:tcPr>
          <w:p w:rsidR="007A38A0" w:rsidRPr="002F7052" w:rsidRDefault="007A38A0" w:rsidP="007A38A0">
            <w:pPr>
              <w:ind w:left="113" w:right="113"/>
              <w:rPr>
                <w:rFonts w:ascii="Times" w:hAnsi="Times" w:cs="Times"/>
                <w:b/>
                <w:bCs/>
                <w:sz w:val="18"/>
                <w:szCs w:val="18"/>
                <w:highlight w:val="green"/>
                <w:shd w:val="clear" w:color="auto" w:fill="FFFFFF"/>
              </w:rPr>
            </w:pPr>
            <w:r w:rsidRPr="002F7052">
              <w:rPr>
                <w:rFonts w:ascii="Times" w:hAnsi="Times" w:cs="Times"/>
                <w:b/>
                <w:bCs/>
                <w:color w:val="000000"/>
                <w:sz w:val="18"/>
                <w:szCs w:val="18"/>
                <w:highlight w:val="green"/>
                <w:shd w:val="clear" w:color="auto" w:fill="FFFFFF"/>
              </w:rPr>
              <w:t>II. Les figures d’amplification / d’atténuation</w:t>
            </w:r>
          </w:p>
        </w:tc>
        <w:tc>
          <w:tcPr>
            <w:tcW w:w="1852" w:type="dxa"/>
          </w:tcPr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green"/>
                <w:shd w:val="clear" w:color="auto" w:fill="FFFFFF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green"/>
                <w:shd w:val="clear" w:color="auto" w:fill="FFFFFF"/>
              </w:rPr>
              <w:t>L’HYPERBOLE 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2F7052" w:rsidRDefault="007A38A0" w:rsidP="00A35AB9">
            <w:pPr>
              <w:rPr>
                <w:rFonts w:ascii="Times" w:hAnsi="Times" w:cs="Times"/>
                <w:b/>
                <w:bCs/>
                <w:sz w:val="18"/>
                <w:szCs w:val="18"/>
                <w:highlight w:val="green"/>
                <w:shd w:val="clear" w:color="auto" w:fill="FFFFFF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green"/>
                <w:shd w:val="clear" w:color="auto" w:fill="FFFFFF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green"/>
                <w:shd w:val="clear" w:color="auto" w:fill="FFFFFF"/>
              </w:rPr>
              <w:t xml:space="preserve">LA LITOTE 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rPr>
          <w:trHeight w:val="781"/>
        </w:trPr>
        <w:tc>
          <w:tcPr>
            <w:tcW w:w="908" w:type="dxa"/>
            <w:vMerge/>
          </w:tcPr>
          <w:p w:rsidR="007A38A0" w:rsidRPr="002F7052" w:rsidRDefault="007A38A0" w:rsidP="00A35AB9">
            <w:pPr>
              <w:rPr>
                <w:rFonts w:ascii="Times" w:hAnsi="Times" w:cs="Times"/>
                <w:b/>
                <w:bCs/>
                <w:sz w:val="18"/>
                <w:szCs w:val="18"/>
                <w:highlight w:val="green"/>
                <w:shd w:val="clear" w:color="auto" w:fill="FFFFFF"/>
              </w:rPr>
            </w:pPr>
          </w:p>
        </w:tc>
        <w:tc>
          <w:tcPr>
            <w:tcW w:w="1852" w:type="dxa"/>
          </w:tcPr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green"/>
                <w:shd w:val="clear" w:color="auto" w:fill="FFFFFF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green"/>
                <w:shd w:val="clear" w:color="auto" w:fill="FFFFFF"/>
              </w:rPr>
              <w:t xml:space="preserve">L’EUPHÉMISME </w:t>
            </w:r>
          </w:p>
          <w:p w:rsidR="007A38A0" w:rsidRPr="002F7052" w:rsidRDefault="007A38A0" w:rsidP="00A35AB9">
            <w:pPr>
              <w:rPr>
                <w:rFonts w:cstheme="minorHAns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 w:val="restart"/>
            <w:textDirection w:val="btLr"/>
          </w:tcPr>
          <w:p w:rsidR="007A38A0" w:rsidRPr="002F7052" w:rsidRDefault="00957E65" w:rsidP="00957E65">
            <w:pPr>
              <w:ind w:left="113" w:right="113"/>
              <w:rPr>
                <w:rFonts w:ascii="Times" w:hAnsi="Times" w:cs="Times"/>
                <w:b/>
                <w:bCs/>
                <w:sz w:val="18"/>
                <w:szCs w:val="18"/>
                <w:highlight w:val="magenta"/>
                <w:shd w:val="clear" w:color="auto" w:fill="FFFFFF"/>
              </w:rPr>
            </w:pPr>
            <w:r w:rsidRPr="002F705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highlight w:val="magenta"/>
                <w:shd w:val="clear" w:color="auto" w:fill="FFFFFF"/>
              </w:rPr>
              <w:t>III. Les figures d’opposition</w:t>
            </w:r>
          </w:p>
        </w:tc>
        <w:tc>
          <w:tcPr>
            <w:tcW w:w="1852" w:type="dxa"/>
          </w:tcPr>
          <w:p w:rsidR="007A38A0" w:rsidRPr="002F7052" w:rsidRDefault="007A38A0" w:rsidP="00541FFE">
            <w:pPr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magenta"/>
                <w:shd w:val="clear" w:color="auto" w:fill="FFFFFF"/>
              </w:rPr>
              <w:t>LA MÉTONYMIE </w:t>
            </w: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2F7052" w:rsidRDefault="007A38A0" w:rsidP="00A35AB9">
            <w:pPr>
              <w:rPr>
                <w:rFonts w:ascii="Times" w:hAnsi="Times" w:cs="Times"/>
                <w:b/>
                <w:bCs/>
                <w:sz w:val="21"/>
                <w:szCs w:val="21"/>
                <w:highlight w:val="magenta"/>
                <w:shd w:val="clear" w:color="auto" w:fill="FFFFFF"/>
              </w:rPr>
            </w:pPr>
          </w:p>
        </w:tc>
        <w:tc>
          <w:tcPr>
            <w:tcW w:w="1852" w:type="dxa"/>
          </w:tcPr>
          <w:p w:rsidR="007A38A0" w:rsidRPr="002F7052" w:rsidRDefault="007A38A0" w:rsidP="00541FFE">
            <w:pPr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magenta"/>
                <w:shd w:val="clear" w:color="auto" w:fill="FFFFFF"/>
              </w:rPr>
              <w:t>LA SYNECDOQUE </w:t>
            </w: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2F7052" w:rsidRDefault="007A38A0" w:rsidP="00A35AB9">
            <w:pPr>
              <w:rPr>
                <w:rFonts w:ascii="Times" w:hAnsi="Times" w:cs="Times"/>
                <w:b/>
                <w:bCs/>
                <w:sz w:val="21"/>
                <w:szCs w:val="21"/>
                <w:highlight w:val="magenta"/>
                <w:shd w:val="clear" w:color="auto" w:fill="FFFFFF"/>
              </w:rPr>
            </w:pPr>
          </w:p>
        </w:tc>
        <w:tc>
          <w:tcPr>
            <w:tcW w:w="1852" w:type="dxa"/>
          </w:tcPr>
          <w:p w:rsidR="007A38A0" w:rsidRPr="002F7052" w:rsidRDefault="007A38A0" w:rsidP="00541FFE">
            <w:pPr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magenta"/>
                <w:shd w:val="clear" w:color="auto" w:fill="FFFFFF"/>
              </w:rPr>
              <w:t>LA PÉRIPHRASE</w:t>
            </w: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7A38A0" w:rsidTr="00861036">
        <w:tc>
          <w:tcPr>
            <w:tcW w:w="908" w:type="dxa"/>
            <w:vMerge/>
          </w:tcPr>
          <w:p w:rsidR="007A38A0" w:rsidRPr="002F7052" w:rsidRDefault="007A38A0" w:rsidP="00A35AB9">
            <w:pPr>
              <w:rPr>
                <w:rFonts w:ascii="Times" w:hAnsi="Times" w:cs="Times"/>
                <w:b/>
                <w:bCs/>
                <w:sz w:val="21"/>
                <w:szCs w:val="21"/>
                <w:highlight w:val="magenta"/>
                <w:shd w:val="clear" w:color="auto" w:fill="FFFFFF"/>
              </w:rPr>
            </w:pPr>
          </w:p>
        </w:tc>
        <w:tc>
          <w:tcPr>
            <w:tcW w:w="1852" w:type="dxa"/>
          </w:tcPr>
          <w:p w:rsidR="007A38A0" w:rsidRPr="002F7052" w:rsidRDefault="007A38A0" w:rsidP="00541FFE">
            <w:pPr>
              <w:rPr>
                <w:rFonts w:cstheme="minorHAnsi"/>
                <w:b/>
                <w:bCs/>
                <w:sz w:val="18"/>
                <w:szCs w:val="18"/>
                <w:highlight w:val="magenta"/>
                <w:shd w:val="clear" w:color="auto" w:fill="FFFFFF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magenta"/>
                <w:shd w:val="clear" w:color="auto" w:fill="FFFFFF"/>
              </w:rPr>
              <w:t>L’ANTIPHRASE</w:t>
            </w:r>
          </w:p>
          <w:p w:rsidR="00B2600E" w:rsidRPr="002F7052" w:rsidRDefault="00B2600E" w:rsidP="00541FFE">
            <w:pPr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35" w:type="dxa"/>
          </w:tcPr>
          <w:p w:rsidR="007A38A0" w:rsidRDefault="007A38A0" w:rsidP="00115B84"/>
        </w:tc>
        <w:tc>
          <w:tcPr>
            <w:tcW w:w="790" w:type="dxa"/>
          </w:tcPr>
          <w:p w:rsidR="007A38A0" w:rsidRDefault="007A38A0" w:rsidP="00115B84"/>
        </w:tc>
        <w:tc>
          <w:tcPr>
            <w:tcW w:w="866" w:type="dxa"/>
          </w:tcPr>
          <w:p w:rsidR="007A38A0" w:rsidRDefault="007A38A0" w:rsidP="00115B84"/>
        </w:tc>
        <w:tc>
          <w:tcPr>
            <w:tcW w:w="785" w:type="dxa"/>
          </w:tcPr>
          <w:p w:rsidR="007A38A0" w:rsidRDefault="007A38A0" w:rsidP="00115B84"/>
        </w:tc>
        <w:tc>
          <w:tcPr>
            <w:tcW w:w="998" w:type="dxa"/>
          </w:tcPr>
          <w:p w:rsidR="007A38A0" w:rsidRDefault="007A38A0" w:rsidP="00115B84"/>
        </w:tc>
        <w:tc>
          <w:tcPr>
            <w:tcW w:w="1021" w:type="dxa"/>
          </w:tcPr>
          <w:p w:rsidR="007A38A0" w:rsidRDefault="007A38A0" w:rsidP="00115B84"/>
        </w:tc>
        <w:tc>
          <w:tcPr>
            <w:tcW w:w="1090" w:type="dxa"/>
          </w:tcPr>
          <w:p w:rsidR="007A38A0" w:rsidRDefault="007A38A0" w:rsidP="00115B84"/>
        </w:tc>
        <w:tc>
          <w:tcPr>
            <w:tcW w:w="947" w:type="dxa"/>
          </w:tcPr>
          <w:p w:rsidR="007A38A0" w:rsidRDefault="007A38A0" w:rsidP="00115B84"/>
        </w:tc>
        <w:tc>
          <w:tcPr>
            <w:tcW w:w="973" w:type="dxa"/>
          </w:tcPr>
          <w:p w:rsidR="007A38A0" w:rsidRDefault="007A38A0" w:rsidP="00115B84"/>
        </w:tc>
        <w:tc>
          <w:tcPr>
            <w:tcW w:w="1041" w:type="dxa"/>
          </w:tcPr>
          <w:p w:rsidR="007A38A0" w:rsidRDefault="007A38A0" w:rsidP="00115B84"/>
        </w:tc>
        <w:tc>
          <w:tcPr>
            <w:tcW w:w="1276" w:type="dxa"/>
          </w:tcPr>
          <w:p w:rsidR="007A38A0" w:rsidRDefault="007A38A0" w:rsidP="00115B84"/>
        </w:tc>
        <w:tc>
          <w:tcPr>
            <w:tcW w:w="567" w:type="dxa"/>
          </w:tcPr>
          <w:p w:rsidR="007A38A0" w:rsidRDefault="007A38A0" w:rsidP="00115B84"/>
        </w:tc>
        <w:tc>
          <w:tcPr>
            <w:tcW w:w="851" w:type="dxa"/>
          </w:tcPr>
          <w:p w:rsidR="007A38A0" w:rsidRDefault="007A38A0" w:rsidP="00115B84"/>
        </w:tc>
        <w:tc>
          <w:tcPr>
            <w:tcW w:w="850" w:type="dxa"/>
          </w:tcPr>
          <w:p w:rsidR="007A38A0" w:rsidRDefault="007A38A0" w:rsidP="00115B84"/>
        </w:tc>
      </w:tr>
      <w:tr w:rsidR="00B2600E" w:rsidTr="00861036">
        <w:tc>
          <w:tcPr>
            <w:tcW w:w="908" w:type="dxa"/>
            <w:vMerge w:val="restart"/>
            <w:textDirection w:val="btLr"/>
          </w:tcPr>
          <w:p w:rsidR="00B2600E" w:rsidRPr="002F7052" w:rsidRDefault="00B2600E" w:rsidP="00B2600E">
            <w:pPr>
              <w:ind w:left="113" w:right="113"/>
              <w:rPr>
                <w:rFonts w:ascii="Times" w:hAnsi="Times" w:cs="Times"/>
                <w:b/>
                <w:bCs/>
                <w:sz w:val="18"/>
                <w:szCs w:val="18"/>
                <w:highlight w:val="darkYellow"/>
                <w:shd w:val="clear" w:color="auto" w:fill="FFFFFF"/>
              </w:rPr>
            </w:pPr>
            <w:r w:rsidRPr="002F7052">
              <w:rPr>
                <w:rFonts w:ascii="Times" w:hAnsi="Times" w:cs="Times"/>
                <w:b/>
                <w:bCs/>
                <w:color w:val="000000"/>
                <w:sz w:val="18"/>
                <w:szCs w:val="18"/>
                <w:highlight w:val="darkYellow"/>
                <w:shd w:val="clear" w:color="auto" w:fill="FFFFFF"/>
              </w:rPr>
              <w:t>IV. Les figures de substitution</w:t>
            </w: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8"/>
                <w:szCs w:val="18"/>
                <w:highlight w:val="darkYellow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darkYellow"/>
                <w:shd w:val="clear" w:color="auto" w:fill="FFFFFF"/>
              </w:rPr>
              <w:t>LA MÉTONYMIE 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A35AB9">
            <w:pPr>
              <w:rPr>
                <w:rFonts w:ascii="Times" w:hAnsi="Times" w:cs="Times"/>
                <w:b/>
                <w:bCs/>
                <w:sz w:val="21"/>
                <w:szCs w:val="21"/>
                <w:highlight w:val="blue"/>
                <w:shd w:val="clear" w:color="auto" w:fill="FFFFFF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8"/>
                <w:szCs w:val="18"/>
                <w:highlight w:val="darkYellow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darkYellow"/>
                <w:shd w:val="clear" w:color="auto" w:fill="FFFFFF"/>
              </w:rPr>
              <w:t>LA SYNECDOQUE 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A35AB9">
            <w:pPr>
              <w:rPr>
                <w:rFonts w:ascii="Times" w:hAnsi="Times" w:cs="Times"/>
                <w:b/>
                <w:bCs/>
                <w:sz w:val="21"/>
                <w:szCs w:val="21"/>
                <w:highlight w:val="blue"/>
                <w:shd w:val="clear" w:color="auto" w:fill="FFFFFF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8"/>
                <w:szCs w:val="18"/>
                <w:highlight w:val="darkYellow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darkYellow"/>
                <w:shd w:val="clear" w:color="auto" w:fill="FFFFFF"/>
              </w:rPr>
              <w:t>LA PÉRIPHRASE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A35AB9">
            <w:pPr>
              <w:rPr>
                <w:rFonts w:ascii="Times" w:hAnsi="Times" w:cs="Times"/>
                <w:b/>
                <w:bCs/>
                <w:sz w:val="21"/>
                <w:szCs w:val="21"/>
                <w:highlight w:val="blue"/>
                <w:shd w:val="clear" w:color="auto" w:fill="FFFFFF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8"/>
                <w:szCs w:val="18"/>
                <w:highlight w:val="darkYellow"/>
                <w:shd w:val="clear" w:color="auto" w:fill="FFFFFF"/>
              </w:rPr>
            </w:pPr>
            <w:r w:rsidRPr="002F7052">
              <w:rPr>
                <w:rFonts w:cstheme="minorHAnsi"/>
                <w:b/>
                <w:bCs/>
                <w:sz w:val="18"/>
                <w:szCs w:val="18"/>
                <w:highlight w:val="darkYellow"/>
                <w:shd w:val="clear" w:color="auto" w:fill="FFFFFF"/>
              </w:rPr>
              <w:t>L’ANTIPHRASE</w:t>
            </w:r>
          </w:p>
          <w:p w:rsidR="00B2600E" w:rsidRPr="002F7052" w:rsidRDefault="00B2600E" w:rsidP="00A35AB9">
            <w:pPr>
              <w:rPr>
                <w:rFonts w:cstheme="minorHAnsi"/>
                <w:b/>
                <w:bCs/>
                <w:sz w:val="18"/>
                <w:szCs w:val="18"/>
                <w:highlight w:val="darkYellow"/>
              </w:rPr>
            </w:pPr>
          </w:p>
          <w:p w:rsidR="00B2600E" w:rsidRPr="002F7052" w:rsidRDefault="00B2600E" w:rsidP="00A35AB9">
            <w:pPr>
              <w:rPr>
                <w:rFonts w:cstheme="minorHAnsi"/>
                <w:b/>
                <w:bCs/>
                <w:sz w:val="18"/>
                <w:szCs w:val="18"/>
                <w:highlight w:val="darkYellow"/>
              </w:rPr>
            </w:pPr>
          </w:p>
          <w:p w:rsidR="00B2600E" w:rsidRPr="002F7052" w:rsidRDefault="00B2600E" w:rsidP="00A35AB9">
            <w:pPr>
              <w:rPr>
                <w:rFonts w:cstheme="minorHAnsi"/>
                <w:b/>
                <w:bCs/>
                <w:sz w:val="18"/>
                <w:szCs w:val="18"/>
                <w:highlight w:val="darkYellow"/>
              </w:rPr>
            </w:pP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2F7052" w:rsidTr="00861036">
        <w:tc>
          <w:tcPr>
            <w:tcW w:w="2760" w:type="dxa"/>
            <w:gridSpan w:val="2"/>
            <w:tcBorders>
              <w:top w:val="nil"/>
              <w:left w:val="nil"/>
            </w:tcBorders>
          </w:tcPr>
          <w:p w:rsidR="002F7052" w:rsidRDefault="002F7052" w:rsidP="00115B84"/>
        </w:tc>
        <w:tc>
          <w:tcPr>
            <w:tcW w:w="835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Roman</w:t>
            </w:r>
          </w:p>
        </w:tc>
        <w:tc>
          <w:tcPr>
            <w:tcW w:w="790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poésie</w:t>
            </w:r>
          </w:p>
        </w:tc>
        <w:tc>
          <w:tcPr>
            <w:tcW w:w="866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théâtre</w:t>
            </w:r>
          </w:p>
        </w:tc>
        <w:tc>
          <w:tcPr>
            <w:tcW w:w="785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Presse</w:t>
            </w:r>
          </w:p>
        </w:tc>
        <w:tc>
          <w:tcPr>
            <w:tcW w:w="998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politique</w:t>
            </w:r>
          </w:p>
        </w:tc>
        <w:tc>
          <w:tcPr>
            <w:tcW w:w="1021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B13065">
              <w:rPr>
                <w:b/>
                <w:bCs/>
                <w:sz w:val="20"/>
                <w:szCs w:val="20"/>
                <w:highlight w:val="cyan"/>
              </w:rPr>
              <w:t>facebook</w:t>
            </w:r>
            <w:proofErr w:type="spellEnd"/>
          </w:p>
        </w:tc>
        <w:tc>
          <w:tcPr>
            <w:tcW w:w="1090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B13065">
              <w:rPr>
                <w:b/>
                <w:bCs/>
                <w:sz w:val="20"/>
                <w:szCs w:val="20"/>
                <w:highlight w:val="cyan"/>
              </w:rPr>
              <w:t>instagram</w:t>
            </w:r>
            <w:proofErr w:type="spellEnd"/>
          </w:p>
        </w:tc>
        <w:tc>
          <w:tcPr>
            <w:tcW w:w="947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chanson</w:t>
            </w:r>
          </w:p>
        </w:tc>
        <w:tc>
          <w:tcPr>
            <w:tcW w:w="973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Publicité</w:t>
            </w:r>
          </w:p>
        </w:tc>
        <w:tc>
          <w:tcPr>
            <w:tcW w:w="1041" w:type="dxa"/>
          </w:tcPr>
          <w:p w:rsidR="002F7052" w:rsidRPr="00B13065" w:rsidRDefault="002F7052" w:rsidP="00A35AB9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B13065">
              <w:rPr>
                <w:b/>
                <w:bCs/>
                <w:sz w:val="18"/>
                <w:szCs w:val="18"/>
                <w:highlight w:val="cyan"/>
              </w:rPr>
              <w:t>caricature</w:t>
            </w:r>
          </w:p>
        </w:tc>
        <w:tc>
          <w:tcPr>
            <w:tcW w:w="1276" w:type="dxa"/>
          </w:tcPr>
          <w:p w:rsidR="002F7052" w:rsidRPr="00B13065" w:rsidRDefault="00861036" w:rsidP="00A35AB9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B13065">
              <w:rPr>
                <w:b/>
                <w:bCs/>
                <w:sz w:val="18"/>
                <w:szCs w:val="18"/>
                <w:highlight w:val="cyan"/>
              </w:rPr>
              <w:t>Domaine scientifique</w:t>
            </w:r>
          </w:p>
        </w:tc>
        <w:tc>
          <w:tcPr>
            <w:tcW w:w="567" w:type="dxa"/>
          </w:tcPr>
          <w:p w:rsidR="002F7052" w:rsidRPr="00B13065" w:rsidRDefault="002F7052" w:rsidP="00A35AB9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B13065">
              <w:rPr>
                <w:b/>
                <w:bCs/>
                <w:sz w:val="18"/>
                <w:szCs w:val="18"/>
                <w:highlight w:val="cyan"/>
              </w:rPr>
              <w:t>droit</w:t>
            </w:r>
          </w:p>
        </w:tc>
        <w:tc>
          <w:tcPr>
            <w:tcW w:w="851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Textes sacrés</w:t>
            </w:r>
          </w:p>
        </w:tc>
        <w:tc>
          <w:tcPr>
            <w:tcW w:w="850" w:type="dxa"/>
          </w:tcPr>
          <w:p w:rsidR="002F7052" w:rsidRPr="00B13065" w:rsidRDefault="002F7052" w:rsidP="00A35AB9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B13065">
              <w:rPr>
                <w:b/>
                <w:bCs/>
                <w:sz w:val="20"/>
                <w:szCs w:val="20"/>
                <w:highlight w:val="cyan"/>
              </w:rPr>
              <w:t>Autres</w:t>
            </w:r>
          </w:p>
        </w:tc>
      </w:tr>
      <w:tr w:rsidR="00B2600E" w:rsidTr="00861036">
        <w:tc>
          <w:tcPr>
            <w:tcW w:w="908" w:type="dxa"/>
            <w:vMerge w:val="restart"/>
            <w:textDirection w:val="btLr"/>
          </w:tcPr>
          <w:p w:rsidR="00B2600E" w:rsidRPr="002F7052" w:rsidRDefault="00B2600E" w:rsidP="00B2600E">
            <w:pPr>
              <w:ind w:left="113" w:right="113"/>
              <w:rPr>
                <w:highlight w:val="lightGray"/>
              </w:rPr>
            </w:pPr>
            <w:r w:rsidRPr="002F7052">
              <w:rPr>
                <w:rFonts w:ascii="Times" w:hAnsi="Times" w:cs="Times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V. Les figures d’équivalence</w:t>
            </w: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 w:rsidRPr="002F7052">
              <w:rPr>
                <w:rFonts w:cstheme="minorHAnsi"/>
                <w:b/>
                <w:bCs/>
                <w:sz w:val="16"/>
                <w:szCs w:val="16"/>
                <w:highlight w:val="lightGray"/>
                <w:shd w:val="clear" w:color="auto" w:fill="FFFFFF"/>
              </w:rPr>
              <w:t>LA COMPARAISON 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115B84">
            <w:pPr>
              <w:rPr>
                <w:highlight w:val="lightGray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 w:rsidRPr="002F7052">
              <w:rPr>
                <w:rFonts w:cstheme="minorHAnsi"/>
                <w:b/>
                <w:bCs/>
                <w:sz w:val="16"/>
                <w:szCs w:val="16"/>
                <w:highlight w:val="lightGray"/>
                <w:shd w:val="clear" w:color="auto" w:fill="FFFFFF"/>
              </w:rPr>
              <w:t>LA MÉTAPHORE 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115B84">
            <w:pPr>
              <w:rPr>
                <w:highlight w:val="lightGray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 w:rsidRPr="002F7052">
              <w:rPr>
                <w:rFonts w:cstheme="minorHAnsi"/>
                <w:b/>
                <w:bCs/>
                <w:sz w:val="16"/>
                <w:szCs w:val="16"/>
                <w:highlight w:val="lightGray"/>
                <w:shd w:val="clear" w:color="auto" w:fill="FFFFFF"/>
              </w:rPr>
              <w:t>LA PERSONNIFICATION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115B84">
            <w:pPr>
              <w:rPr>
                <w:highlight w:val="lightGray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 w:rsidRPr="002F7052">
              <w:rPr>
                <w:rFonts w:cstheme="minorHAnsi"/>
                <w:b/>
                <w:bCs/>
                <w:sz w:val="16"/>
                <w:szCs w:val="16"/>
                <w:highlight w:val="lightGray"/>
                <w:shd w:val="clear" w:color="auto" w:fill="FFFFFF"/>
              </w:rPr>
              <w:t>L’ANIMALISATION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115B84">
            <w:pPr>
              <w:rPr>
                <w:highlight w:val="lightGray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 w:rsidRPr="002F7052">
              <w:rPr>
                <w:rFonts w:cstheme="minorHAnsi"/>
                <w:b/>
                <w:bCs/>
                <w:sz w:val="16"/>
                <w:szCs w:val="16"/>
                <w:highlight w:val="lightGray"/>
                <w:shd w:val="clear" w:color="auto" w:fill="FFFFFF"/>
              </w:rPr>
              <w:t>LA RÉIFICATION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115B84">
            <w:pPr>
              <w:rPr>
                <w:highlight w:val="lightGray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 w:rsidRPr="002F7052">
              <w:rPr>
                <w:rFonts w:cstheme="minorHAnsi"/>
                <w:b/>
                <w:bCs/>
                <w:sz w:val="16"/>
                <w:szCs w:val="16"/>
                <w:highlight w:val="lightGray"/>
                <w:shd w:val="clear" w:color="auto" w:fill="FFFFFF"/>
              </w:rPr>
              <w:t>L’ALLÉGORIE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  <w:tr w:rsidR="00B2600E" w:rsidTr="00861036">
        <w:tc>
          <w:tcPr>
            <w:tcW w:w="908" w:type="dxa"/>
            <w:vMerge/>
          </w:tcPr>
          <w:p w:rsidR="00B2600E" w:rsidRPr="002F7052" w:rsidRDefault="00B2600E" w:rsidP="00115B84">
            <w:pPr>
              <w:rPr>
                <w:highlight w:val="lightGray"/>
              </w:rPr>
            </w:pPr>
          </w:p>
        </w:tc>
        <w:tc>
          <w:tcPr>
            <w:tcW w:w="1852" w:type="dxa"/>
          </w:tcPr>
          <w:p w:rsidR="00B2600E" w:rsidRPr="002F7052" w:rsidRDefault="00B2600E" w:rsidP="00A35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highlight w:val="lightGray"/>
                <w:shd w:val="clear" w:color="auto" w:fill="FFFFFF"/>
              </w:rPr>
            </w:pPr>
            <w:r w:rsidRPr="002F7052">
              <w:rPr>
                <w:rFonts w:cstheme="minorHAnsi"/>
                <w:b/>
                <w:bCs/>
                <w:sz w:val="16"/>
                <w:szCs w:val="16"/>
                <w:highlight w:val="lightGray"/>
                <w:shd w:val="clear" w:color="auto" w:fill="FFFFFF"/>
              </w:rPr>
              <w:t>LA PROSOPOPÉE</w:t>
            </w:r>
          </w:p>
        </w:tc>
        <w:tc>
          <w:tcPr>
            <w:tcW w:w="835" w:type="dxa"/>
          </w:tcPr>
          <w:p w:rsidR="00B2600E" w:rsidRDefault="00B2600E" w:rsidP="00115B84"/>
        </w:tc>
        <w:tc>
          <w:tcPr>
            <w:tcW w:w="790" w:type="dxa"/>
          </w:tcPr>
          <w:p w:rsidR="00B2600E" w:rsidRDefault="00B2600E" w:rsidP="00115B84"/>
        </w:tc>
        <w:tc>
          <w:tcPr>
            <w:tcW w:w="866" w:type="dxa"/>
          </w:tcPr>
          <w:p w:rsidR="00B2600E" w:rsidRDefault="00B2600E" w:rsidP="00115B84"/>
        </w:tc>
        <w:tc>
          <w:tcPr>
            <w:tcW w:w="785" w:type="dxa"/>
          </w:tcPr>
          <w:p w:rsidR="00B2600E" w:rsidRDefault="00B2600E" w:rsidP="00115B84"/>
        </w:tc>
        <w:tc>
          <w:tcPr>
            <w:tcW w:w="998" w:type="dxa"/>
          </w:tcPr>
          <w:p w:rsidR="00B2600E" w:rsidRDefault="00B2600E" w:rsidP="00115B84"/>
        </w:tc>
        <w:tc>
          <w:tcPr>
            <w:tcW w:w="1021" w:type="dxa"/>
          </w:tcPr>
          <w:p w:rsidR="00B2600E" w:rsidRDefault="00B2600E" w:rsidP="00115B84"/>
        </w:tc>
        <w:tc>
          <w:tcPr>
            <w:tcW w:w="1090" w:type="dxa"/>
          </w:tcPr>
          <w:p w:rsidR="00B2600E" w:rsidRDefault="00B2600E" w:rsidP="00115B84"/>
        </w:tc>
        <w:tc>
          <w:tcPr>
            <w:tcW w:w="947" w:type="dxa"/>
          </w:tcPr>
          <w:p w:rsidR="00B2600E" w:rsidRDefault="00B2600E" w:rsidP="00115B84"/>
        </w:tc>
        <w:tc>
          <w:tcPr>
            <w:tcW w:w="973" w:type="dxa"/>
          </w:tcPr>
          <w:p w:rsidR="00B2600E" w:rsidRDefault="00B2600E" w:rsidP="00115B84"/>
        </w:tc>
        <w:tc>
          <w:tcPr>
            <w:tcW w:w="1041" w:type="dxa"/>
          </w:tcPr>
          <w:p w:rsidR="00B2600E" w:rsidRDefault="00B2600E" w:rsidP="00115B84"/>
        </w:tc>
        <w:tc>
          <w:tcPr>
            <w:tcW w:w="1276" w:type="dxa"/>
          </w:tcPr>
          <w:p w:rsidR="00B2600E" w:rsidRDefault="00B2600E" w:rsidP="00115B84"/>
        </w:tc>
        <w:tc>
          <w:tcPr>
            <w:tcW w:w="567" w:type="dxa"/>
          </w:tcPr>
          <w:p w:rsidR="00B2600E" w:rsidRDefault="00B2600E" w:rsidP="00115B84"/>
        </w:tc>
        <w:tc>
          <w:tcPr>
            <w:tcW w:w="851" w:type="dxa"/>
          </w:tcPr>
          <w:p w:rsidR="00B2600E" w:rsidRDefault="00B2600E" w:rsidP="00115B84"/>
        </w:tc>
        <w:tc>
          <w:tcPr>
            <w:tcW w:w="850" w:type="dxa"/>
          </w:tcPr>
          <w:p w:rsidR="00B2600E" w:rsidRDefault="00B2600E" w:rsidP="00115B84"/>
        </w:tc>
      </w:tr>
    </w:tbl>
    <w:p w:rsidR="00115B84" w:rsidRPr="00115B84" w:rsidRDefault="00115B84" w:rsidP="00115B84"/>
    <w:sectPr w:rsidR="00115B84" w:rsidRPr="00115B84" w:rsidSect="00F22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69"/>
    <w:rsid w:val="00012DB6"/>
    <w:rsid w:val="00115B84"/>
    <w:rsid w:val="00226663"/>
    <w:rsid w:val="002C6E69"/>
    <w:rsid w:val="002F7052"/>
    <w:rsid w:val="00321840"/>
    <w:rsid w:val="003F4BA5"/>
    <w:rsid w:val="007A3101"/>
    <w:rsid w:val="007A38A0"/>
    <w:rsid w:val="00861036"/>
    <w:rsid w:val="00957E65"/>
    <w:rsid w:val="00B13065"/>
    <w:rsid w:val="00B2600E"/>
    <w:rsid w:val="00E104E2"/>
    <w:rsid w:val="00F22B78"/>
    <w:rsid w:val="00FE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Station</cp:lastModifiedBy>
  <cp:revision>2</cp:revision>
  <dcterms:created xsi:type="dcterms:W3CDTF">2021-01-25T23:14:00Z</dcterms:created>
  <dcterms:modified xsi:type="dcterms:W3CDTF">2021-01-25T23:14:00Z</dcterms:modified>
</cp:coreProperties>
</file>